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01C" w:rsidRDefault="0064701C" w:rsidP="00483088">
      <w:pPr>
        <w:jc w:val="center"/>
        <w:rPr>
          <w:color w:val="000000"/>
          <w:sz w:val="28"/>
          <w:szCs w:val="28"/>
          <w:lang w:val="bs-Latn-BA"/>
        </w:rPr>
      </w:pPr>
      <w:r>
        <w:rPr>
          <w:color w:val="000000"/>
          <w:sz w:val="28"/>
          <w:szCs w:val="28"/>
          <w:lang w:val="bs-Latn-BA"/>
        </w:rPr>
        <w:t xml:space="preserve">КОМИСИЈА ЗА РАЧУНОВОДСТВО И РЕВИЗИЈУ </w:t>
      </w:r>
    </w:p>
    <w:p w:rsidR="0064701C" w:rsidRDefault="0064701C" w:rsidP="00862438">
      <w:pPr>
        <w:jc w:val="center"/>
        <w:rPr>
          <w:color w:val="000000"/>
          <w:sz w:val="28"/>
          <w:szCs w:val="28"/>
          <w:lang w:val="bs-Latn-BA"/>
        </w:rPr>
      </w:pPr>
      <w:r>
        <w:rPr>
          <w:color w:val="000000"/>
          <w:sz w:val="28"/>
          <w:szCs w:val="28"/>
          <w:lang w:val="bs-Latn-BA"/>
        </w:rPr>
        <w:t>БОСНЕ И ХЕРЦЕГОВИНЕ</w:t>
      </w:r>
    </w:p>
    <w:p w:rsidR="0064701C" w:rsidRDefault="0064701C" w:rsidP="00862438">
      <w:pPr>
        <w:jc w:val="center"/>
        <w:rPr>
          <w:b/>
          <w:color w:val="000000"/>
          <w:lang w:val="bs-Latn-BA"/>
        </w:rPr>
      </w:pPr>
    </w:p>
    <w:p w:rsidR="0064701C" w:rsidRDefault="0064701C" w:rsidP="00862438">
      <w:pPr>
        <w:jc w:val="center"/>
        <w:rPr>
          <w:color w:val="000000"/>
          <w:lang w:val="bs-Latn-BA"/>
        </w:rPr>
      </w:pPr>
      <w:r>
        <w:rPr>
          <w:color w:val="000000"/>
          <w:lang w:val="bs-Latn-BA"/>
        </w:rPr>
        <w:t>ИСПИТ ЗА СТИЦАЊЕ ПРОФЕСИОНАЛНОГ ЗВАЊА</w:t>
      </w:r>
    </w:p>
    <w:p w:rsidR="0064701C" w:rsidRDefault="0064701C" w:rsidP="00862438">
      <w:pPr>
        <w:jc w:val="center"/>
        <w:rPr>
          <w:b/>
          <w:color w:val="000000"/>
          <w:lang w:val="bs-Latn-BA"/>
        </w:rPr>
      </w:pPr>
      <w:r>
        <w:rPr>
          <w:b/>
          <w:color w:val="000000"/>
          <w:lang w:val="sr-Cyrl-CS"/>
        </w:rPr>
        <w:t>СЕРТИФИКОВАНИ</w:t>
      </w:r>
      <w:r>
        <w:rPr>
          <w:b/>
          <w:color w:val="000000"/>
          <w:lang w:val="bs-Latn-BA"/>
        </w:rPr>
        <w:t xml:space="preserve"> РАЧУНОВОЂА</w:t>
      </w:r>
    </w:p>
    <w:p w:rsidR="0064701C" w:rsidRDefault="0064701C" w:rsidP="00862438">
      <w:pPr>
        <w:jc w:val="center"/>
        <w:rPr>
          <w:color w:val="000000"/>
          <w:lang w:val="bs-Latn-BA"/>
        </w:rPr>
      </w:pPr>
      <w:r>
        <w:rPr>
          <w:color w:val="000000"/>
          <w:lang w:val="bs-Latn-BA"/>
        </w:rPr>
        <w:t xml:space="preserve">(ИСПИТНИ ТЕРМИН: </w:t>
      </w:r>
      <w:r w:rsidR="00DC0C18">
        <w:rPr>
          <w:color w:val="000000"/>
        </w:rPr>
        <w:t>НОВЕМБАР</w:t>
      </w:r>
      <w:r>
        <w:rPr>
          <w:color w:val="000000"/>
        </w:rPr>
        <w:t xml:space="preserve"> </w:t>
      </w:r>
      <w:r>
        <w:rPr>
          <w:color w:val="000000"/>
          <w:lang w:val="bs-Latn-BA"/>
        </w:rPr>
        <w:t>201</w:t>
      </w:r>
      <w:r w:rsidR="002A57AF">
        <w:rPr>
          <w:color w:val="000000"/>
        </w:rPr>
        <w:t>3</w:t>
      </w:r>
      <w:r>
        <w:rPr>
          <w:color w:val="000000"/>
          <w:lang w:val="bs-Latn-BA"/>
        </w:rPr>
        <w:t>.ГОДИНЕ)</w:t>
      </w:r>
    </w:p>
    <w:p w:rsidR="0064701C" w:rsidRDefault="0064701C" w:rsidP="00862438">
      <w:pPr>
        <w:jc w:val="center"/>
        <w:rPr>
          <w:b/>
          <w:color w:val="000000"/>
          <w:lang w:val="bs-Latn-BA"/>
        </w:rPr>
      </w:pPr>
    </w:p>
    <w:p w:rsidR="0064701C" w:rsidRDefault="0064701C" w:rsidP="00862438">
      <w:pPr>
        <w:jc w:val="center"/>
        <w:rPr>
          <w:color w:val="000000"/>
          <w:lang w:val="bs-Latn-BA"/>
        </w:rPr>
      </w:pPr>
      <w:r>
        <w:rPr>
          <w:color w:val="000000"/>
          <w:lang w:val="bs-Latn-BA"/>
        </w:rPr>
        <w:t xml:space="preserve">ПРЕДМЕТ 7: </w:t>
      </w:r>
    </w:p>
    <w:p w:rsidR="0064701C" w:rsidRDefault="0064701C" w:rsidP="00862438">
      <w:pPr>
        <w:jc w:val="center"/>
        <w:rPr>
          <w:b/>
          <w:color w:val="000000"/>
          <w:u w:val="single"/>
          <w:lang w:val="bs-Latn-BA"/>
        </w:rPr>
      </w:pPr>
      <w:r>
        <w:rPr>
          <w:b/>
          <w:color w:val="000000"/>
          <w:u w:val="single"/>
          <w:lang w:val="bs-Latn-BA"/>
        </w:rPr>
        <w:t>ФИНАНСИЈСКО ИЗВЈЕШТАВАЊЕ 2</w:t>
      </w:r>
    </w:p>
    <w:p w:rsidR="0064701C" w:rsidRDefault="0064701C" w:rsidP="00862438">
      <w:pPr>
        <w:jc w:val="both"/>
        <w:rPr>
          <w:b/>
          <w:lang w:val="bs-Latn-BA"/>
        </w:rPr>
      </w:pPr>
    </w:p>
    <w:p w:rsidR="0064701C" w:rsidRDefault="0064701C" w:rsidP="00862438">
      <w:pPr>
        <w:jc w:val="both"/>
        <w:rPr>
          <w:b/>
        </w:rPr>
      </w:pPr>
      <w:r>
        <w:rPr>
          <w:b/>
          <w:lang w:val="bs-Latn-BA"/>
        </w:rPr>
        <w:t>I</w:t>
      </w:r>
      <w:r w:rsidRPr="006172FC">
        <w:rPr>
          <w:b/>
          <w:lang w:val="bs-Latn-BA"/>
        </w:rPr>
        <w:t xml:space="preserve"> - ТЕСТ П</w:t>
      </w:r>
      <w:r w:rsidRPr="006172FC">
        <w:rPr>
          <w:b/>
          <w:lang w:val="bs-Cyrl-BA"/>
        </w:rPr>
        <w:t>И</w:t>
      </w:r>
      <w:r w:rsidR="00DC0C18">
        <w:rPr>
          <w:b/>
          <w:lang w:val="bs-Latn-BA"/>
        </w:rPr>
        <w:t>ТАЊ</w:t>
      </w:r>
      <w:r w:rsidR="00DC0C18">
        <w:rPr>
          <w:b/>
        </w:rPr>
        <w:t>А</w:t>
      </w:r>
    </w:p>
    <w:p w:rsidR="00DC0C18" w:rsidRPr="00DC0C18" w:rsidRDefault="00DC0C18" w:rsidP="00862438">
      <w:pPr>
        <w:jc w:val="both"/>
        <w:rPr>
          <w:b/>
        </w:rPr>
      </w:pPr>
    </w:p>
    <w:p w:rsidR="00DC0C18" w:rsidRPr="00DC0C18" w:rsidRDefault="00DC0C18" w:rsidP="00DC0C18">
      <w:pPr>
        <w:numPr>
          <w:ilvl w:val="0"/>
          <w:numId w:val="1"/>
        </w:numPr>
        <w:jc w:val="both"/>
        <w:rPr>
          <w:b/>
          <w:lang w:val="sr-Cyrl-CS"/>
        </w:rPr>
      </w:pPr>
      <w:r w:rsidRPr="00DC0C18">
        <w:rPr>
          <w:b/>
          <w:lang w:val="sr-Cyrl-CS"/>
        </w:rPr>
        <w:t>Приходи по основу одложених пореских средстава увећавају:</w:t>
      </w:r>
    </w:p>
    <w:p w:rsidR="00DC0C18" w:rsidRPr="00752F79" w:rsidRDefault="00DC0C18" w:rsidP="00DC0C18">
      <w:pPr>
        <w:numPr>
          <w:ilvl w:val="0"/>
          <w:numId w:val="26"/>
        </w:numPr>
        <w:jc w:val="both"/>
        <w:rPr>
          <w:lang w:val="sr-Cyrl-CS"/>
        </w:rPr>
      </w:pPr>
      <w:r w:rsidRPr="00752F79">
        <w:rPr>
          <w:lang w:val="sr-Cyrl-CS"/>
        </w:rPr>
        <w:t>пореску основицу за обрачун пореза на добит у неком од будућих обрачунских периода</w:t>
      </w:r>
    </w:p>
    <w:p w:rsidR="00DC0C18" w:rsidRDefault="00DC0C18" w:rsidP="00DC0C18">
      <w:pPr>
        <w:numPr>
          <w:ilvl w:val="0"/>
          <w:numId w:val="26"/>
        </w:numPr>
        <w:jc w:val="both"/>
        <w:rPr>
          <w:lang w:val="sr-Cyrl-CS"/>
        </w:rPr>
      </w:pPr>
      <w:r>
        <w:rPr>
          <w:lang w:val="sr-Cyrl-CS"/>
        </w:rPr>
        <w:t>пореску основицу за обрачун пореза на добит у текућем обрачунском периоду</w:t>
      </w:r>
    </w:p>
    <w:p w:rsidR="00DC0C18" w:rsidRPr="0013608C" w:rsidRDefault="00DC0C18" w:rsidP="00DC0C18">
      <w:pPr>
        <w:numPr>
          <w:ilvl w:val="0"/>
          <w:numId w:val="26"/>
        </w:numPr>
        <w:jc w:val="both"/>
        <w:rPr>
          <w:b/>
          <w:u w:val="single"/>
          <w:lang w:val="sr-Cyrl-CS"/>
        </w:rPr>
      </w:pPr>
      <w:r w:rsidRPr="0013608C">
        <w:rPr>
          <w:b/>
          <w:u w:val="single"/>
          <w:lang w:val="sr-Cyrl-CS"/>
        </w:rPr>
        <w:t>нето финансијски резултат текућег обрачунског периода</w:t>
      </w:r>
    </w:p>
    <w:p w:rsidR="00DC0C18" w:rsidRDefault="00DC0C18" w:rsidP="00DC0C18">
      <w:pPr>
        <w:numPr>
          <w:ilvl w:val="0"/>
          <w:numId w:val="26"/>
        </w:numPr>
        <w:jc w:val="both"/>
        <w:rPr>
          <w:lang w:val="sr-Cyrl-CS"/>
        </w:rPr>
      </w:pPr>
      <w:r>
        <w:rPr>
          <w:lang w:val="sr-Cyrl-CS"/>
        </w:rPr>
        <w:t>бруто финансијски резултат текућег обрачунског периода</w:t>
      </w:r>
    </w:p>
    <w:p w:rsidR="00DC0C18" w:rsidRDefault="00DC0C18" w:rsidP="00DC0C18">
      <w:pPr>
        <w:jc w:val="both"/>
        <w:rPr>
          <w:lang w:val="sr-Cyrl-CS"/>
        </w:rPr>
      </w:pPr>
    </w:p>
    <w:p w:rsidR="00DC0C18" w:rsidRPr="00FA5F2B" w:rsidRDefault="00DC0C18" w:rsidP="00DC0C18">
      <w:pPr>
        <w:jc w:val="both"/>
        <w:rPr>
          <w:i/>
          <w:lang w:val="ru-RU"/>
        </w:rPr>
      </w:pPr>
    </w:p>
    <w:p w:rsidR="00DC0C18" w:rsidRPr="00DC0C18" w:rsidRDefault="00DC0C18" w:rsidP="00DC0C18">
      <w:pPr>
        <w:numPr>
          <w:ilvl w:val="0"/>
          <w:numId w:val="1"/>
        </w:numPr>
        <w:jc w:val="both"/>
        <w:rPr>
          <w:b/>
          <w:lang w:val="sr-Cyrl-CS"/>
        </w:rPr>
      </w:pPr>
      <w:r w:rsidRPr="00DC0C18">
        <w:rPr>
          <w:b/>
          <w:lang w:val="sr-Cyrl-CS"/>
        </w:rPr>
        <w:t>Према МРС 11, уговори о изградњи могу се појавити у облику:</w:t>
      </w:r>
    </w:p>
    <w:p w:rsidR="00DC0C18" w:rsidRDefault="00DC0C18" w:rsidP="00483088">
      <w:pPr>
        <w:numPr>
          <w:ilvl w:val="0"/>
          <w:numId w:val="28"/>
        </w:numPr>
        <w:jc w:val="both"/>
        <w:rPr>
          <w:lang w:val="sr-Cyrl-CS"/>
        </w:rPr>
      </w:pPr>
      <w:r>
        <w:rPr>
          <w:lang w:val="sr-Cyrl-CS"/>
        </w:rPr>
        <w:t>уговора о набавци роба и услуга</w:t>
      </w:r>
    </w:p>
    <w:p w:rsidR="00DC0C18" w:rsidRPr="0013608C" w:rsidRDefault="00DC0C18" w:rsidP="00483088">
      <w:pPr>
        <w:numPr>
          <w:ilvl w:val="0"/>
          <w:numId w:val="28"/>
        </w:numPr>
        <w:jc w:val="both"/>
        <w:rPr>
          <w:b/>
          <w:u w:val="single"/>
          <w:lang w:val="sr-Cyrl-CS"/>
        </w:rPr>
      </w:pPr>
      <w:r w:rsidRPr="0013608C">
        <w:rPr>
          <w:b/>
          <w:u w:val="single"/>
          <w:lang w:val="sr-Cyrl-CS"/>
        </w:rPr>
        <w:t>комбинованих уговора</w:t>
      </w:r>
    </w:p>
    <w:p w:rsidR="00DC0C18" w:rsidRDefault="00DC0C18" w:rsidP="00483088">
      <w:pPr>
        <w:numPr>
          <w:ilvl w:val="0"/>
          <w:numId w:val="28"/>
        </w:numPr>
        <w:jc w:val="both"/>
        <w:rPr>
          <w:lang w:val="sr-Cyrl-CS"/>
        </w:rPr>
      </w:pPr>
      <w:r>
        <w:rPr>
          <w:lang w:val="sr-Cyrl-CS"/>
        </w:rPr>
        <w:t>уговора о градњи непокретности</w:t>
      </w:r>
    </w:p>
    <w:p w:rsidR="00DC0C18" w:rsidRPr="0013608C" w:rsidRDefault="00DC0C18" w:rsidP="00483088">
      <w:pPr>
        <w:numPr>
          <w:ilvl w:val="0"/>
          <w:numId w:val="28"/>
        </w:numPr>
        <w:jc w:val="both"/>
        <w:rPr>
          <w:b/>
          <w:u w:val="single"/>
          <w:lang w:val="sr-Cyrl-CS"/>
        </w:rPr>
      </w:pPr>
      <w:r w:rsidRPr="0013608C">
        <w:rPr>
          <w:b/>
          <w:u w:val="single"/>
          <w:lang w:val="sr-Cyrl-CS"/>
        </w:rPr>
        <w:t>уговора са фиксном цијеном</w:t>
      </w:r>
    </w:p>
    <w:p w:rsidR="00DC0C18" w:rsidRDefault="00DC0C18" w:rsidP="00DC0C18">
      <w:pPr>
        <w:jc w:val="both"/>
        <w:rPr>
          <w:i/>
          <w:u w:val="single"/>
        </w:rPr>
      </w:pPr>
    </w:p>
    <w:p w:rsidR="009E7991" w:rsidRPr="009E7991" w:rsidRDefault="009E7991" w:rsidP="00DC0C18">
      <w:pPr>
        <w:jc w:val="both"/>
        <w:rPr>
          <w:i/>
          <w:u w:val="single"/>
        </w:rPr>
      </w:pPr>
    </w:p>
    <w:p w:rsidR="00DC0C18" w:rsidRPr="00DC0C18" w:rsidRDefault="00DC0C18" w:rsidP="00DC0C18">
      <w:pPr>
        <w:numPr>
          <w:ilvl w:val="0"/>
          <w:numId w:val="1"/>
        </w:numPr>
        <w:jc w:val="both"/>
        <w:rPr>
          <w:b/>
          <w:lang w:val="sr-Cyrl-CS"/>
        </w:rPr>
      </w:pPr>
      <w:r w:rsidRPr="00DC0C18">
        <w:rPr>
          <w:b/>
          <w:lang w:val="sr-Cyrl-CS"/>
        </w:rPr>
        <w:t>У складу са МРС 28, улагања у придружена правна лица се рачуноводствено могу обухватати:</w:t>
      </w:r>
    </w:p>
    <w:p w:rsidR="00DC0C18" w:rsidRDefault="00DC0C18" w:rsidP="00483088">
      <w:pPr>
        <w:numPr>
          <w:ilvl w:val="0"/>
          <w:numId w:val="30"/>
        </w:numPr>
        <w:jc w:val="both"/>
        <w:rPr>
          <w:lang w:val="sr-Cyrl-CS"/>
        </w:rPr>
      </w:pPr>
      <w:r>
        <w:rPr>
          <w:lang w:val="sr-Cyrl-CS"/>
        </w:rPr>
        <w:t>методом потпуне консолидације</w:t>
      </w:r>
    </w:p>
    <w:p w:rsidR="00DC0C18" w:rsidRPr="0013608C" w:rsidRDefault="00DC0C18" w:rsidP="00483088">
      <w:pPr>
        <w:numPr>
          <w:ilvl w:val="0"/>
          <w:numId w:val="30"/>
        </w:numPr>
        <w:jc w:val="both"/>
        <w:rPr>
          <w:b/>
          <w:u w:val="single"/>
          <w:lang w:val="sr-Cyrl-CS"/>
        </w:rPr>
      </w:pPr>
      <w:r w:rsidRPr="0013608C">
        <w:rPr>
          <w:b/>
          <w:u w:val="single"/>
          <w:lang w:val="sr-Cyrl-CS"/>
        </w:rPr>
        <w:t>методом пропорционалне консолидације</w:t>
      </w:r>
    </w:p>
    <w:p w:rsidR="00DC0C18" w:rsidRPr="0013608C" w:rsidRDefault="00DC0C18" w:rsidP="00483088">
      <w:pPr>
        <w:numPr>
          <w:ilvl w:val="0"/>
          <w:numId w:val="30"/>
        </w:numPr>
        <w:jc w:val="both"/>
        <w:rPr>
          <w:b/>
          <w:u w:val="single"/>
          <w:lang w:val="sr-Cyrl-CS"/>
        </w:rPr>
      </w:pPr>
      <w:r w:rsidRPr="0013608C">
        <w:rPr>
          <w:b/>
          <w:u w:val="single"/>
          <w:lang w:val="sr-Cyrl-CS"/>
        </w:rPr>
        <w:t>методом удјела</w:t>
      </w:r>
    </w:p>
    <w:p w:rsidR="00DC0C18" w:rsidRPr="00361602" w:rsidRDefault="00DC0C18" w:rsidP="00483088">
      <w:pPr>
        <w:numPr>
          <w:ilvl w:val="0"/>
          <w:numId w:val="30"/>
        </w:numPr>
        <w:jc w:val="both"/>
        <w:rPr>
          <w:lang w:val="sr-Cyrl-CS"/>
        </w:rPr>
      </w:pPr>
      <w:r>
        <w:rPr>
          <w:lang w:val="sr-Cyrl-CS"/>
        </w:rPr>
        <w:t>као финансијски инструменти, класификовани у одговарајућу категорију финансијске активе, у складу са МРС 39</w:t>
      </w:r>
    </w:p>
    <w:p w:rsidR="00DC0C18" w:rsidRDefault="00DC0C18" w:rsidP="00DC0C18">
      <w:pPr>
        <w:jc w:val="both"/>
        <w:rPr>
          <w:i/>
          <w:lang w:val="sr-Cyrl-CS"/>
        </w:rPr>
      </w:pPr>
    </w:p>
    <w:p w:rsidR="009C1897" w:rsidRDefault="009C1897" w:rsidP="00DC0C18">
      <w:pPr>
        <w:jc w:val="both"/>
        <w:rPr>
          <w:i/>
          <w:lang w:val="sr-Cyrl-CS"/>
        </w:rPr>
      </w:pPr>
    </w:p>
    <w:p w:rsidR="00DC0C18" w:rsidRPr="00DC0C18" w:rsidRDefault="00DC0C18" w:rsidP="00DC0C18">
      <w:pPr>
        <w:numPr>
          <w:ilvl w:val="0"/>
          <w:numId w:val="1"/>
        </w:numPr>
        <w:jc w:val="both"/>
        <w:rPr>
          <w:b/>
          <w:lang w:val="sr-Cyrl-CS"/>
        </w:rPr>
      </w:pPr>
      <w:r w:rsidRPr="00DC0C18">
        <w:rPr>
          <w:b/>
          <w:lang w:val="sr-Cyrl-CS"/>
        </w:rPr>
        <w:t>Приликом иницијалног признавања, ''негативни'' goodwill се признаје:</w:t>
      </w:r>
    </w:p>
    <w:p w:rsidR="00DC0C18" w:rsidRDefault="00DC0C18" w:rsidP="00483088">
      <w:pPr>
        <w:numPr>
          <w:ilvl w:val="0"/>
          <w:numId w:val="32"/>
        </w:numPr>
        <w:jc w:val="both"/>
        <w:rPr>
          <w:lang w:val="sr-Cyrl-CS"/>
        </w:rPr>
      </w:pPr>
      <w:r>
        <w:rPr>
          <w:lang w:val="sr-Cyrl-CS"/>
        </w:rPr>
        <w:t xml:space="preserve">у корист </w:t>
      </w:r>
      <w:r w:rsidRPr="001844F1">
        <w:rPr>
          <w:lang w:val="sr-Cyrl-CS"/>
        </w:rPr>
        <w:t>капиталних резерви</w:t>
      </w:r>
    </w:p>
    <w:p w:rsidR="00DC0C18" w:rsidRDefault="00DC0C18" w:rsidP="00483088">
      <w:pPr>
        <w:numPr>
          <w:ilvl w:val="0"/>
          <w:numId w:val="32"/>
        </w:numPr>
        <w:jc w:val="both"/>
        <w:rPr>
          <w:lang w:val="sr-Cyrl-CS"/>
        </w:rPr>
      </w:pPr>
      <w:r>
        <w:rPr>
          <w:lang w:val="sr-Cyrl-CS"/>
        </w:rPr>
        <w:t xml:space="preserve">у корист дугорочних резервисања </w:t>
      </w:r>
    </w:p>
    <w:p w:rsidR="00DC0C18" w:rsidRPr="0013608C" w:rsidRDefault="00DC0C18" w:rsidP="00483088">
      <w:pPr>
        <w:numPr>
          <w:ilvl w:val="0"/>
          <w:numId w:val="32"/>
        </w:numPr>
        <w:jc w:val="both"/>
        <w:rPr>
          <w:b/>
          <w:u w:val="single"/>
          <w:lang w:val="sr-Cyrl-CS"/>
        </w:rPr>
      </w:pPr>
      <w:r w:rsidRPr="0013608C">
        <w:rPr>
          <w:b/>
          <w:u w:val="single"/>
          <w:lang w:val="sr-Cyrl-CS"/>
        </w:rPr>
        <w:t>у корист добитка или губитка у периоду</w:t>
      </w:r>
    </w:p>
    <w:p w:rsidR="00DC0C18" w:rsidRPr="001844F1" w:rsidRDefault="00DC0C18" w:rsidP="00483088">
      <w:pPr>
        <w:numPr>
          <w:ilvl w:val="0"/>
          <w:numId w:val="32"/>
        </w:numPr>
        <w:jc w:val="both"/>
        <w:rPr>
          <w:lang w:val="sr-Cyrl-CS"/>
        </w:rPr>
      </w:pPr>
      <w:r>
        <w:rPr>
          <w:lang w:val="sr-Cyrl-CS"/>
        </w:rPr>
        <w:t xml:space="preserve">као корективна ставка позицији </w:t>
      </w:r>
      <w:r w:rsidRPr="001844F1">
        <w:rPr>
          <w:lang w:val="sr-Cyrl-CS"/>
        </w:rPr>
        <w:t>goodwill</w:t>
      </w:r>
      <w:r>
        <w:rPr>
          <w:lang w:val="sr-Cyrl-CS"/>
        </w:rPr>
        <w:t xml:space="preserve"> исказаној у активи биланса стања</w:t>
      </w:r>
    </w:p>
    <w:p w:rsidR="00DC0C18" w:rsidRDefault="00DC0C18" w:rsidP="00DC0C18">
      <w:pPr>
        <w:jc w:val="both"/>
        <w:rPr>
          <w:i/>
          <w:lang w:val="sr-Cyrl-CS"/>
        </w:rPr>
      </w:pPr>
    </w:p>
    <w:p w:rsidR="00DC0C18" w:rsidRDefault="00DC0C18" w:rsidP="00DC0C18">
      <w:pPr>
        <w:jc w:val="both"/>
        <w:rPr>
          <w:i/>
          <w:lang w:val="sr-Cyrl-CS"/>
        </w:rPr>
      </w:pPr>
    </w:p>
    <w:p w:rsidR="009C1897" w:rsidRDefault="009C1897" w:rsidP="00DC0C18">
      <w:pPr>
        <w:jc w:val="both"/>
        <w:rPr>
          <w:i/>
          <w:lang w:val="sr-Cyrl-CS"/>
        </w:rPr>
      </w:pPr>
    </w:p>
    <w:p w:rsidR="00DC0C18" w:rsidRPr="00DC0C18" w:rsidRDefault="00DC0C18" w:rsidP="00DC0C18">
      <w:pPr>
        <w:numPr>
          <w:ilvl w:val="0"/>
          <w:numId w:val="1"/>
        </w:numPr>
        <w:jc w:val="both"/>
        <w:rPr>
          <w:b/>
          <w:lang w:val="sr-Cyrl-CS"/>
        </w:rPr>
      </w:pPr>
      <w:r w:rsidRPr="00DC0C18">
        <w:rPr>
          <w:b/>
          <w:lang w:val="sr-Cyrl-CS"/>
        </w:rPr>
        <w:t>У складу са МРС 2, у трошкове конверзије, поред осталих, укључују се:</w:t>
      </w:r>
    </w:p>
    <w:p w:rsidR="00DC0C18" w:rsidRDefault="00DC0C18" w:rsidP="009C1897">
      <w:pPr>
        <w:numPr>
          <w:ilvl w:val="0"/>
          <w:numId w:val="34"/>
        </w:numPr>
        <w:jc w:val="both"/>
        <w:rPr>
          <w:lang w:val="sr-Cyrl-CS"/>
        </w:rPr>
      </w:pPr>
      <w:r>
        <w:rPr>
          <w:lang w:val="sr-Cyrl-CS"/>
        </w:rPr>
        <w:t>трошкови превоза готових производа до складишта купца</w:t>
      </w:r>
    </w:p>
    <w:p w:rsidR="00DC0C18" w:rsidRPr="0013608C" w:rsidRDefault="00DC0C18" w:rsidP="009C1897">
      <w:pPr>
        <w:numPr>
          <w:ilvl w:val="0"/>
          <w:numId w:val="34"/>
        </w:numPr>
        <w:jc w:val="both"/>
        <w:rPr>
          <w:b/>
          <w:u w:val="single"/>
          <w:lang w:val="sr-Cyrl-CS"/>
        </w:rPr>
      </w:pPr>
      <w:r w:rsidRPr="0013608C">
        <w:rPr>
          <w:b/>
          <w:u w:val="single"/>
          <w:lang w:val="sr-Cyrl-CS"/>
        </w:rPr>
        <w:t>посебни појединачни трошкови производње</w:t>
      </w:r>
    </w:p>
    <w:p w:rsidR="00DC0C18" w:rsidRDefault="00DC0C18" w:rsidP="009C1897">
      <w:pPr>
        <w:numPr>
          <w:ilvl w:val="0"/>
          <w:numId w:val="34"/>
        </w:numPr>
        <w:jc w:val="both"/>
        <w:rPr>
          <w:lang w:val="sr-Cyrl-CS"/>
        </w:rPr>
      </w:pPr>
      <w:r>
        <w:rPr>
          <w:lang w:val="sr-Cyrl-CS"/>
        </w:rPr>
        <w:t>сви општи трошкови производње</w:t>
      </w:r>
    </w:p>
    <w:p w:rsidR="00DC0C18" w:rsidRPr="0013608C" w:rsidRDefault="00DC0C18" w:rsidP="009C1897">
      <w:pPr>
        <w:numPr>
          <w:ilvl w:val="0"/>
          <w:numId w:val="34"/>
        </w:numPr>
        <w:jc w:val="both"/>
        <w:rPr>
          <w:b/>
          <w:u w:val="single"/>
          <w:lang w:val="sr-Cyrl-CS"/>
        </w:rPr>
      </w:pPr>
      <w:r w:rsidRPr="0013608C">
        <w:rPr>
          <w:b/>
          <w:u w:val="single"/>
          <w:lang w:val="sr-Cyrl-CS"/>
        </w:rPr>
        <w:t>трошкови помоћног материјала</w:t>
      </w:r>
    </w:p>
    <w:p w:rsidR="009C1897" w:rsidRDefault="009C1897" w:rsidP="009C1897">
      <w:pPr>
        <w:jc w:val="both"/>
        <w:rPr>
          <w:b/>
          <w:lang w:val="sr-Cyrl-CS"/>
        </w:rPr>
      </w:pPr>
    </w:p>
    <w:p w:rsidR="009C1897" w:rsidRPr="009C1897" w:rsidRDefault="009C1897" w:rsidP="009C1897">
      <w:pPr>
        <w:numPr>
          <w:ilvl w:val="0"/>
          <w:numId w:val="1"/>
        </w:numPr>
        <w:jc w:val="both"/>
        <w:rPr>
          <w:b/>
          <w:lang w:val="sr-Cyrl-CS"/>
        </w:rPr>
      </w:pPr>
      <w:r w:rsidRPr="009C1897">
        <w:rPr>
          <w:b/>
          <w:lang w:val="sr-Cyrl-CS"/>
        </w:rPr>
        <w:lastRenderedPageBreak/>
        <w:t>Према МРС 1, рекласификаци</w:t>
      </w:r>
      <w:r>
        <w:rPr>
          <w:b/>
          <w:lang w:val="sr-Cyrl-CS"/>
        </w:rPr>
        <w:t>она</w:t>
      </w:r>
      <w:r w:rsidRPr="009C1897">
        <w:rPr>
          <w:b/>
          <w:lang w:val="sr-Cyrl-CS"/>
        </w:rPr>
        <w:t xml:space="preserve"> ускла</w:t>
      </w:r>
      <w:r>
        <w:rPr>
          <w:b/>
          <w:lang w:val="sr-Cyrl-CS"/>
        </w:rPr>
        <w:t>ђивања</w:t>
      </w:r>
      <w:r w:rsidRPr="009C1897">
        <w:rPr>
          <w:b/>
          <w:lang w:val="sr-Cyrl-CS"/>
        </w:rPr>
        <w:t xml:space="preserve"> произлазе: </w:t>
      </w:r>
    </w:p>
    <w:p w:rsidR="009C1897" w:rsidRPr="009C1897" w:rsidRDefault="009C1897" w:rsidP="009C1897">
      <w:pPr>
        <w:numPr>
          <w:ilvl w:val="0"/>
          <w:numId w:val="41"/>
        </w:numPr>
        <w:spacing w:before="60"/>
        <w:ind w:left="539" w:hanging="255"/>
        <w:jc w:val="both"/>
      </w:pPr>
      <w:proofErr w:type="spellStart"/>
      <w:r w:rsidRPr="009C1897">
        <w:t>из</w:t>
      </w:r>
      <w:proofErr w:type="spellEnd"/>
      <w:r w:rsidRPr="009C1897">
        <w:t xml:space="preserve"> </w:t>
      </w:r>
      <w:proofErr w:type="spellStart"/>
      <w:r w:rsidRPr="009C1897">
        <w:t>промјена</w:t>
      </w:r>
      <w:proofErr w:type="spellEnd"/>
      <w:r w:rsidRPr="009C1897">
        <w:t xml:space="preserve"> </w:t>
      </w:r>
      <w:proofErr w:type="spellStart"/>
      <w:r w:rsidRPr="009C1897">
        <w:t>вишка</w:t>
      </w:r>
      <w:proofErr w:type="spellEnd"/>
      <w:r w:rsidRPr="009C1897">
        <w:t xml:space="preserve"> </w:t>
      </w:r>
      <w:proofErr w:type="spellStart"/>
      <w:r w:rsidRPr="009C1897">
        <w:t>утврђеног</w:t>
      </w:r>
      <w:proofErr w:type="spellEnd"/>
      <w:r w:rsidRPr="009C1897">
        <w:t xml:space="preserve"> </w:t>
      </w:r>
      <w:proofErr w:type="spellStart"/>
      <w:r w:rsidRPr="009C1897">
        <w:t>ревалоризацијом</w:t>
      </w:r>
      <w:proofErr w:type="spellEnd"/>
      <w:r w:rsidRPr="009C1897">
        <w:t xml:space="preserve"> у </w:t>
      </w:r>
      <w:proofErr w:type="spellStart"/>
      <w:r w:rsidRPr="009C1897">
        <w:t>складу</w:t>
      </w:r>
      <w:proofErr w:type="spellEnd"/>
      <w:r w:rsidRPr="009C1897">
        <w:t xml:space="preserve"> с МРС 16 </w:t>
      </w:r>
      <w:proofErr w:type="spellStart"/>
      <w:r w:rsidRPr="009C1897">
        <w:t>или</w:t>
      </w:r>
      <w:proofErr w:type="spellEnd"/>
      <w:r w:rsidRPr="009C1897">
        <w:t xml:space="preserve"> МРС 38</w:t>
      </w:r>
    </w:p>
    <w:p w:rsidR="009C1897" w:rsidRPr="009C1897" w:rsidRDefault="009C1897" w:rsidP="009C1897">
      <w:pPr>
        <w:numPr>
          <w:ilvl w:val="0"/>
          <w:numId w:val="41"/>
        </w:numPr>
        <w:spacing w:before="60"/>
        <w:ind w:left="539" w:hanging="255"/>
        <w:jc w:val="both"/>
      </w:pPr>
      <w:proofErr w:type="spellStart"/>
      <w:r w:rsidRPr="009C1897">
        <w:t>по</w:t>
      </w:r>
      <w:proofErr w:type="spellEnd"/>
      <w:r w:rsidRPr="009C1897">
        <w:t xml:space="preserve"> </w:t>
      </w:r>
      <w:proofErr w:type="spellStart"/>
      <w:r w:rsidRPr="009C1897">
        <w:t>основ</w:t>
      </w:r>
      <w:r>
        <w:t>у</w:t>
      </w:r>
      <w:proofErr w:type="spellEnd"/>
      <w:r w:rsidRPr="009C1897">
        <w:t xml:space="preserve"> </w:t>
      </w:r>
      <w:proofErr w:type="spellStart"/>
      <w:r w:rsidRPr="009C1897">
        <w:t>актуарск</w:t>
      </w:r>
      <w:r>
        <w:t>ог</w:t>
      </w:r>
      <w:proofErr w:type="spellEnd"/>
      <w:r w:rsidRPr="009C1897">
        <w:t xml:space="preserve"> </w:t>
      </w:r>
      <w:proofErr w:type="spellStart"/>
      <w:r w:rsidRPr="009C1897">
        <w:t>добит</w:t>
      </w:r>
      <w:r>
        <w:t>ка</w:t>
      </w:r>
      <w:proofErr w:type="spellEnd"/>
      <w:r w:rsidRPr="009C1897">
        <w:t xml:space="preserve"> и </w:t>
      </w:r>
      <w:proofErr w:type="spellStart"/>
      <w:r w:rsidRPr="009C1897">
        <w:t>актуарских</w:t>
      </w:r>
      <w:proofErr w:type="spellEnd"/>
      <w:r w:rsidRPr="009C1897">
        <w:t xml:space="preserve"> </w:t>
      </w:r>
      <w:proofErr w:type="spellStart"/>
      <w:r w:rsidRPr="009C1897">
        <w:t>губитака</w:t>
      </w:r>
      <w:proofErr w:type="spellEnd"/>
      <w:r w:rsidRPr="009C1897">
        <w:t xml:space="preserve"> </w:t>
      </w:r>
      <w:proofErr w:type="spellStart"/>
      <w:r w:rsidRPr="009C1897">
        <w:t>по</w:t>
      </w:r>
      <w:proofErr w:type="spellEnd"/>
      <w:r w:rsidRPr="009C1897">
        <w:t xml:space="preserve"> </w:t>
      </w:r>
      <w:proofErr w:type="spellStart"/>
      <w:r w:rsidRPr="009C1897">
        <w:t>основи</w:t>
      </w:r>
      <w:proofErr w:type="spellEnd"/>
      <w:r w:rsidRPr="009C1897">
        <w:t xml:space="preserve"> </w:t>
      </w:r>
      <w:proofErr w:type="spellStart"/>
      <w:r w:rsidRPr="009C1897">
        <w:t>планова</w:t>
      </w:r>
      <w:proofErr w:type="spellEnd"/>
      <w:r w:rsidRPr="009C1897">
        <w:t xml:space="preserve"> </w:t>
      </w:r>
      <w:proofErr w:type="spellStart"/>
      <w:r w:rsidRPr="009C1897">
        <w:t>дефини</w:t>
      </w:r>
      <w:r>
        <w:t>с</w:t>
      </w:r>
      <w:r w:rsidRPr="009C1897">
        <w:t>аних</w:t>
      </w:r>
      <w:proofErr w:type="spellEnd"/>
      <w:r w:rsidRPr="009C1897">
        <w:t xml:space="preserve"> </w:t>
      </w:r>
      <w:proofErr w:type="spellStart"/>
      <w:r w:rsidRPr="009C1897">
        <w:t>примања</w:t>
      </w:r>
      <w:proofErr w:type="spellEnd"/>
    </w:p>
    <w:p w:rsidR="009C1897" w:rsidRPr="0013608C" w:rsidRDefault="009C1897" w:rsidP="009C1897">
      <w:pPr>
        <w:numPr>
          <w:ilvl w:val="0"/>
          <w:numId w:val="41"/>
        </w:numPr>
        <w:spacing w:before="60"/>
        <w:ind w:left="539" w:hanging="255"/>
        <w:jc w:val="both"/>
        <w:rPr>
          <w:b/>
          <w:u w:val="single"/>
        </w:rPr>
      </w:pPr>
      <w:proofErr w:type="spellStart"/>
      <w:r w:rsidRPr="0013608C">
        <w:rPr>
          <w:b/>
          <w:u w:val="single"/>
        </w:rPr>
        <w:t>из</w:t>
      </w:r>
      <w:proofErr w:type="spellEnd"/>
      <w:r w:rsidRPr="0013608C">
        <w:rPr>
          <w:b/>
          <w:u w:val="single"/>
        </w:rPr>
        <w:t xml:space="preserve"> </w:t>
      </w:r>
      <w:proofErr w:type="spellStart"/>
      <w:r w:rsidRPr="0013608C">
        <w:rPr>
          <w:b/>
          <w:u w:val="single"/>
        </w:rPr>
        <w:t>отуђења</w:t>
      </w:r>
      <w:proofErr w:type="spellEnd"/>
      <w:r w:rsidRPr="0013608C">
        <w:rPr>
          <w:b/>
          <w:u w:val="single"/>
        </w:rPr>
        <w:t xml:space="preserve"> </w:t>
      </w:r>
      <w:proofErr w:type="spellStart"/>
      <w:r w:rsidRPr="0013608C">
        <w:rPr>
          <w:b/>
          <w:u w:val="single"/>
        </w:rPr>
        <w:t>иностраних</w:t>
      </w:r>
      <w:proofErr w:type="spellEnd"/>
      <w:r w:rsidRPr="0013608C">
        <w:rPr>
          <w:b/>
          <w:u w:val="single"/>
        </w:rPr>
        <w:t xml:space="preserve"> </w:t>
      </w:r>
      <w:proofErr w:type="spellStart"/>
      <w:r w:rsidRPr="0013608C">
        <w:rPr>
          <w:b/>
          <w:u w:val="single"/>
        </w:rPr>
        <w:t>дијелова</w:t>
      </w:r>
      <w:proofErr w:type="spellEnd"/>
      <w:r w:rsidRPr="0013608C">
        <w:rPr>
          <w:b/>
          <w:u w:val="single"/>
        </w:rPr>
        <w:t xml:space="preserve"> </w:t>
      </w:r>
      <w:proofErr w:type="spellStart"/>
      <w:r w:rsidRPr="0013608C">
        <w:rPr>
          <w:b/>
          <w:u w:val="single"/>
        </w:rPr>
        <w:t>пословања</w:t>
      </w:r>
      <w:proofErr w:type="spellEnd"/>
    </w:p>
    <w:p w:rsidR="009C1897" w:rsidRPr="0013608C" w:rsidRDefault="009C1897" w:rsidP="009C1897">
      <w:pPr>
        <w:numPr>
          <w:ilvl w:val="0"/>
          <w:numId w:val="41"/>
        </w:numPr>
        <w:spacing w:before="60"/>
        <w:ind w:left="539" w:hanging="255"/>
        <w:jc w:val="both"/>
        <w:rPr>
          <w:b/>
          <w:u w:val="single"/>
        </w:rPr>
      </w:pPr>
      <w:proofErr w:type="spellStart"/>
      <w:r w:rsidRPr="0013608C">
        <w:rPr>
          <w:b/>
          <w:u w:val="single"/>
        </w:rPr>
        <w:t>из</w:t>
      </w:r>
      <w:proofErr w:type="spellEnd"/>
      <w:r w:rsidRPr="0013608C">
        <w:rPr>
          <w:b/>
          <w:u w:val="single"/>
        </w:rPr>
        <w:t xml:space="preserve"> </w:t>
      </w:r>
      <w:proofErr w:type="spellStart"/>
      <w:r w:rsidRPr="0013608C">
        <w:rPr>
          <w:b/>
          <w:u w:val="single"/>
        </w:rPr>
        <w:t>престанка</w:t>
      </w:r>
      <w:proofErr w:type="spellEnd"/>
      <w:r w:rsidRPr="0013608C">
        <w:rPr>
          <w:b/>
          <w:u w:val="single"/>
        </w:rPr>
        <w:t xml:space="preserve"> </w:t>
      </w:r>
      <w:proofErr w:type="spellStart"/>
      <w:r w:rsidRPr="0013608C">
        <w:rPr>
          <w:b/>
          <w:u w:val="single"/>
        </w:rPr>
        <w:t>признавања</w:t>
      </w:r>
      <w:proofErr w:type="spellEnd"/>
      <w:r w:rsidRPr="0013608C">
        <w:rPr>
          <w:b/>
          <w:u w:val="single"/>
        </w:rPr>
        <w:t xml:space="preserve"> </w:t>
      </w:r>
      <w:proofErr w:type="spellStart"/>
      <w:r w:rsidRPr="0013608C">
        <w:rPr>
          <w:b/>
          <w:u w:val="single"/>
        </w:rPr>
        <w:t>финансијске</w:t>
      </w:r>
      <w:proofErr w:type="spellEnd"/>
      <w:r w:rsidRPr="0013608C">
        <w:rPr>
          <w:b/>
          <w:u w:val="single"/>
        </w:rPr>
        <w:t xml:space="preserve"> </w:t>
      </w:r>
      <w:proofErr w:type="spellStart"/>
      <w:r w:rsidRPr="0013608C">
        <w:rPr>
          <w:b/>
          <w:u w:val="single"/>
        </w:rPr>
        <w:t>имовине</w:t>
      </w:r>
      <w:proofErr w:type="spellEnd"/>
      <w:r w:rsidRPr="0013608C">
        <w:rPr>
          <w:b/>
          <w:u w:val="single"/>
        </w:rPr>
        <w:t xml:space="preserve"> </w:t>
      </w:r>
      <w:proofErr w:type="spellStart"/>
      <w:r w:rsidRPr="0013608C">
        <w:rPr>
          <w:b/>
          <w:u w:val="single"/>
        </w:rPr>
        <w:t>расположиве</w:t>
      </w:r>
      <w:proofErr w:type="spellEnd"/>
      <w:r w:rsidRPr="0013608C">
        <w:rPr>
          <w:b/>
          <w:u w:val="single"/>
        </w:rPr>
        <w:t xml:space="preserve"> </w:t>
      </w:r>
      <w:proofErr w:type="spellStart"/>
      <w:r w:rsidRPr="0013608C">
        <w:rPr>
          <w:b/>
          <w:u w:val="single"/>
        </w:rPr>
        <w:t>за</w:t>
      </w:r>
      <w:proofErr w:type="spellEnd"/>
      <w:r w:rsidRPr="0013608C">
        <w:rPr>
          <w:b/>
          <w:u w:val="single"/>
        </w:rPr>
        <w:t xml:space="preserve"> </w:t>
      </w:r>
      <w:proofErr w:type="spellStart"/>
      <w:r w:rsidRPr="0013608C">
        <w:rPr>
          <w:b/>
          <w:u w:val="single"/>
        </w:rPr>
        <w:t>продају</w:t>
      </w:r>
      <w:proofErr w:type="spellEnd"/>
    </w:p>
    <w:p w:rsidR="009C1897" w:rsidRPr="009C1897" w:rsidRDefault="009C1897" w:rsidP="009C1897">
      <w:pPr>
        <w:spacing w:before="60"/>
        <w:ind w:left="539"/>
        <w:jc w:val="both"/>
        <w:rPr>
          <w:color w:val="0000FF"/>
          <w:u w:val="single"/>
        </w:rPr>
      </w:pPr>
    </w:p>
    <w:p w:rsidR="009C1897" w:rsidRDefault="009C1897" w:rsidP="009C1897">
      <w:pPr>
        <w:spacing w:before="60"/>
        <w:jc w:val="both"/>
      </w:pPr>
    </w:p>
    <w:p w:rsidR="009C1897" w:rsidRPr="009C1897" w:rsidRDefault="009C1897" w:rsidP="009C1897">
      <w:pPr>
        <w:numPr>
          <w:ilvl w:val="0"/>
          <w:numId w:val="1"/>
        </w:numPr>
        <w:jc w:val="both"/>
        <w:rPr>
          <w:b/>
          <w:lang w:val="sr-Cyrl-CS"/>
        </w:rPr>
      </w:pPr>
      <w:r w:rsidRPr="009C1897">
        <w:rPr>
          <w:b/>
          <w:lang w:val="sr-Cyrl-CS"/>
        </w:rPr>
        <w:t xml:space="preserve">Примјери потенцијалних редовних </w:t>
      </w:r>
      <w:r>
        <w:rPr>
          <w:b/>
          <w:lang w:val="sr-Cyrl-CS"/>
        </w:rPr>
        <w:t>акциј</w:t>
      </w:r>
      <w:r w:rsidRPr="009C1897">
        <w:rPr>
          <w:b/>
          <w:lang w:val="sr-Cyrl-CS"/>
        </w:rPr>
        <w:t xml:space="preserve">а су: </w:t>
      </w:r>
    </w:p>
    <w:p w:rsidR="009C1897" w:rsidRPr="009C1897" w:rsidRDefault="009C1897" w:rsidP="009C1897">
      <w:pPr>
        <w:numPr>
          <w:ilvl w:val="0"/>
          <w:numId w:val="38"/>
        </w:numPr>
        <w:spacing w:before="60"/>
        <w:ind w:left="539" w:hanging="255"/>
        <w:jc w:val="both"/>
        <w:rPr>
          <w:b/>
          <w:u w:val="single"/>
        </w:rPr>
      </w:pPr>
      <w:proofErr w:type="spellStart"/>
      <w:r w:rsidRPr="009C1897">
        <w:rPr>
          <w:b/>
          <w:u w:val="single"/>
        </w:rPr>
        <w:t>повлаштене</w:t>
      </w:r>
      <w:proofErr w:type="spellEnd"/>
      <w:r w:rsidRPr="009C1897">
        <w:rPr>
          <w:b/>
          <w:u w:val="single"/>
        </w:rPr>
        <w:t xml:space="preserve"> </w:t>
      </w:r>
      <w:proofErr w:type="spellStart"/>
      <w:r>
        <w:rPr>
          <w:b/>
          <w:u w:val="single"/>
        </w:rPr>
        <w:t>акциј</w:t>
      </w:r>
      <w:r w:rsidRPr="009C1897">
        <w:rPr>
          <w:b/>
          <w:u w:val="single"/>
        </w:rPr>
        <w:t>е</w:t>
      </w:r>
      <w:proofErr w:type="spellEnd"/>
      <w:r w:rsidRPr="009C1897">
        <w:rPr>
          <w:b/>
          <w:u w:val="single"/>
        </w:rPr>
        <w:t xml:space="preserve"> </w:t>
      </w:r>
      <w:proofErr w:type="spellStart"/>
      <w:r w:rsidRPr="009C1897">
        <w:rPr>
          <w:b/>
          <w:u w:val="single"/>
        </w:rPr>
        <w:t>које</w:t>
      </w:r>
      <w:proofErr w:type="spellEnd"/>
      <w:r w:rsidRPr="009C1897">
        <w:rPr>
          <w:b/>
          <w:u w:val="single"/>
        </w:rPr>
        <w:t xml:space="preserve"> </w:t>
      </w:r>
      <w:proofErr w:type="spellStart"/>
      <w:r w:rsidRPr="009C1897">
        <w:rPr>
          <w:b/>
          <w:u w:val="single"/>
        </w:rPr>
        <w:t>се</w:t>
      </w:r>
      <w:proofErr w:type="spellEnd"/>
      <w:r w:rsidRPr="009C1897">
        <w:rPr>
          <w:b/>
          <w:u w:val="single"/>
        </w:rPr>
        <w:t xml:space="preserve"> </w:t>
      </w:r>
      <w:proofErr w:type="spellStart"/>
      <w:r w:rsidRPr="009C1897">
        <w:rPr>
          <w:b/>
          <w:u w:val="single"/>
        </w:rPr>
        <w:t>могу</w:t>
      </w:r>
      <w:proofErr w:type="spellEnd"/>
      <w:r w:rsidRPr="009C1897">
        <w:rPr>
          <w:b/>
          <w:u w:val="single"/>
        </w:rPr>
        <w:t xml:space="preserve"> </w:t>
      </w:r>
      <w:proofErr w:type="spellStart"/>
      <w:r w:rsidRPr="009C1897">
        <w:rPr>
          <w:b/>
          <w:u w:val="single"/>
        </w:rPr>
        <w:t>претворити</w:t>
      </w:r>
      <w:proofErr w:type="spellEnd"/>
      <w:r w:rsidRPr="009C1897">
        <w:rPr>
          <w:b/>
          <w:u w:val="single"/>
        </w:rPr>
        <w:t xml:space="preserve"> у </w:t>
      </w:r>
      <w:proofErr w:type="spellStart"/>
      <w:r w:rsidRPr="009C1897">
        <w:rPr>
          <w:b/>
          <w:u w:val="single"/>
        </w:rPr>
        <w:t>редовне</w:t>
      </w:r>
      <w:proofErr w:type="spellEnd"/>
      <w:r w:rsidRPr="009C1897">
        <w:rPr>
          <w:b/>
          <w:u w:val="single"/>
        </w:rPr>
        <w:t xml:space="preserve"> </w:t>
      </w:r>
      <w:proofErr w:type="spellStart"/>
      <w:r>
        <w:rPr>
          <w:b/>
          <w:u w:val="single"/>
        </w:rPr>
        <w:t>акциј</w:t>
      </w:r>
      <w:r w:rsidRPr="009C1897">
        <w:rPr>
          <w:b/>
          <w:u w:val="single"/>
        </w:rPr>
        <w:t>е</w:t>
      </w:r>
      <w:proofErr w:type="spellEnd"/>
    </w:p>
    <w:p w:rsidR="009C1897" w:rsidRPr="009C1897" w:rsidRDefault="009C1897" w:rsidP="009C1897">
      <w:pPr>
        <w:numPr>
          <w:ilvl w:val="0"/>
          <w:numId w:val="38"/>
        </w:numPr>
        <w:spacing w:before="60"/>
        <w:ind w:left="539" w:hanging="255"/>
        <w:jc w:val="both"/>
        <w:rPr>
          <w:b/>
          <w:u w:val="single"/>
        </w:rPr>
      </w:pPr>
      <w:proofErr w:type="spellStart"/>
      <w:r w:rsidRPr="009C1897">
        <w:rPr>
          <w:b/>
          <w:u w:val="single"/>
        </w:rPr>
        <w:t>опције</w:t>
      </w:r>
      <w:proofErr w:type="spellEnd"/>
      <w:r w:rsidRPr="009C1897">
        <w:rPr>
          <w:b/>
          <w:u w:val="single"/>
        </w:rPr>
        <w:t xml:space="preserve"> и </w:t>
      </w:r>
      <w:proofErr w:type="spellStart"/>
      <w:r w:rsidRPr="009C1897">
        <w:rPr>
          <w:b/>
          <w:u w:val="single"/>
        </w:rPr>
        <w:t>варанти</w:t>
      </w:r>
      <w:proofErr w:type="spellEnd"/>
    </w:p>
    <w:p w:rsidR="009C1897" w:rsidRPr="009C1897" w:rsidRDefault="009C1897" w:rsidP="009C1897">
      <w:pPr>
        <w:numPr>
          <w:ilvl w:val="0"/>
          <w:numId w:val="38"/>
        </w:numPr>
        <w:spacing w:before="60"/>
        <w:ind w:left="539" w:hanging="255"/>
        <w:jc w:val="both"/>
      </w:pPr>
      <w:proofErr w:type="spellStart"/>
      <w:r w:rsidRPr="009C1897">
        <w:t>финан</w:t>
      </w:r>
      <w:r w:rsidR="00EC270C">
        <w:t>с</w:t>
      </w:r>
      <w:r w:rsidRPr="009C1897">
        <w:t>ијске</w:t>
      </w:r>
      <w:proofErr w:type="spellEnd"/>
      <w:r w:rsidRPr="009C1897">
        <w:t xml:space="preserve"> </w:t>
      </w:r>
      <w:proofErr w:type="spellStart"/>
      <w:r w:rsidRPr="009C1897">
        <w:t>гаранције</w:t>
      </w:r>
      <w:proofErr w:type="spellEnd"/>
    </w:p>
    <w:p w:rsidR="009C1897" w:rsidRPr="009C1897" w:rsidRDefault="009C1897" w:rsidP="009C1897">
      <w:pPr>
        <w:numPr>
          <w:ilvl w:val="0"/>
          <w:numId w:val="38"/>
        </w:numPr>
        <w:spacing w:before="60"/>
        <w:ind w:left="539" w:hanging="255"/>
        <w:jc w:val="both"/>
        <w:rPr>
          <w:b/>
          <w:u w:val="single"/>
        </w:rPr>
      </w:pPr>
      <w:proofErr w:type="spellStart"/>
      <w:r>
        <w:rPr>
          <w:b/>
          <w:u w:val="single"/>
        </w:rPr>
        <w:t>акциј</w:t>
      </w:r>
      <w:r w:rsidRPr="009C1897">
        <w:rPr>
          <w:b/>
          <w:u w:val="single"/>
        </w:rPr>
        <w:t>е</w:t>
      </w:r>
      <w:proofErr w:type="spellEnd"/>
      <w:r w:rsidRPr="009C1897">
        <w:rPr>
          <w:b/>
          <w:u w:val="single"/>
        </w:rPr>
        <w:t xml:space="preserve"> </w:t>
      </w:r>
      <w:proofErr w:type="spellStart"/>
      <w:r w:rsidRPr="009C1897">
        <w:rPr>
          <w:b/>
          <w:u w:val="single"/>
        </w:rPr>
        <w:t>које</w:t>
      </w:r>
      <w:proofErr w:type="spellEnd"/>
      <w:r w:rsidRPr="009C1897">
        <w:rPr>
          <w:b/>
          <w:u w:val="single"/>
        </w:rPr>
        <w:t xml:space="preserve"> </w:t>
      </w:r>
      <w:proofErr w:type="spellStart"/>
      <w:r w:rsidRPr="009C1897">
        <w:rPr>
          <w:b/>
          <w:u w:val="single"/>
        </w:rPr>
        <w:t>се</w:t>
      </w:r>
      <w:proofErr w:type="spellEnd"/>
      <w:r w:rsidRPr="009C1897">
        <w:rPr>
          <w:b/>
          <w:u w:val="single"/>
        </w:rPr>
        <w:t xml:space="preserve"> </w:t>
      </w:r>
      <w:proofErr w:type="spellStart"/>
      <w:r w:rsidRPr="009C1897">
        <w:rPr>
          <w:b/>
          <w:u w:val="single"/>
        </w:rPr>
        <w:t>издају</w:t>
      </w:r>
      <w:proofErr w:type="spellEnd"/>
      <w:r w:rsidRPr="009C1897">
        <w:rPr>
          <w:b/>
          <w:u w:val="single"/>
        </w:rPr>
        <w:t xml:space="preserve"> </w:t>
      </w:r>
      <w:proofErr w:type="spellStart"/>
      <w:r w:rsidRPr="009C1897">
        <w:rPr>
          <w:b/>
          <w:u w:val="single"/>
        </w:rPr>
        <w:t>након</w:t>
      </w:r>
      <w:proofErr w:type="spellEnd"/>
      <w:r w:rsidRPr="009C1897">
        <w:rPr>
          <w:b/>
          <w:u w:val="single"/>
        </w:rPr>
        <w:t xml:space="preserve"> </w:t>
      </w:r>
      <w:proofErr w:type="spellStart"/>
      <w:r w:rsidRPr="009C1897">
        <w:rPr>
          <w:b/>
          <w:u w:val="single"/>
        </w:rPr>
        <w:t>што</w:t>
      </w:r>
      <w:proofErr w:type="spellEnd"/>
      <w:r w:rsidRPr="009C1897">
        <w:rPr>
          <w:b/>
          <w:u w:val="single"/>
        </w:rPr>
        <w:t xml:space="preserve"> </w:t>
      </w:r>
      <w:proofErr w:type="spellStart"/>
      <w:r w:rsidRPr="009C1897">
        <w:rPr>
          <w:b/>
          <w:u w:val="single"/>
        </w:rPr>
        <w:t>су</w:t>
      </w:r>
      <w:proofErr w:type="spellEnd"/>
      <w:r w:rsidRPr="009C1897">
        <w:rPr>
          <w:b/>
          <w:u w:val="single"/>
        </w:rPr>
        <w:t xml:space="preserve"> </w:t>
      </w:r>
      <w:proofErr w:type="spellStart"/>
      <w:r w:rsidRPr="009C1897">
        <w:rPr>
          <w:b/>
          <w:u w:val="single"/>
        </w:rPr>
        <w:t>задовољени</w:t>
      </w:r>
      <w:proofErr w:type="spellEnd"/>
      <w:r w:rsidRPr="009C1897">
        <w:rPr>
          <w:b/>
          <w:u w:val="single"/>
        </w:rPr>
        <w:t xml:space="preserve"> </w:t>
      </w:r>
      <w:proofErr w:type="spellStart"/>
      <w:r w:rsidRPr="009C1897">
        <w:rPr>
          <w:b/>
          <w:u w:val="single"/>
        </w:rPr>
        <w:t>увјети</w:t>
      </w:r>
      <w:proofErr w:type="spellEnd"/>
      <w:r w:rsidRPr="009C1897">
        <w:rPr>
          <w:b/>
          <w:u w:val="single"/>
        </w:rPr>
        <w:t xml:space="preserve"> </w:t>
      </w:r>
      <w:proofErr w:type="spellStart"/>
      <w:r w:rsidRPr="009C1897">
        <w:rPr>
          <w:b/>
          <w:u w:val="single"/>
        </w:rPr>
        <w:t>који</w:t>
      </w:r>
      <w:proofErr w:type="spellEnd"/>
      <w:r w:rsidRPr="009C1897">
        <w:rPr>
          <w:b/>
          <w:u w:val="single"/>
        </w:rPr>
        <w:t xml:space="preserve"> </w:t>
      </w:r>
      <w:proofErr w:type="spellStart"/>
      <w:r w:rsidRPr="009C1897">
        <w:rPr>
          <w:b/>
          <w:u w:val="single"/>
        </w:rPr>
        <w:t>произлазе</w:t>
      </w:r>
      <w:proofErr w:type="spellEnd"/>
      <w:r w:rsidRPr="009C1897">
        <w:rPr>
          <w:b/>
          <w:u w:val="single"/>
        </w:rPr>
        <w:t xml:space="preserve"> </w:t>
      </w:r>
      <w:proofErr w:type="spellStart"/>
      <w:r w:rsidRPr="009C1897">
        <w:rPr>
          <w:b/>
          <w:u w:val="single"/>
        </w:rPr>
        <w:t>из</w:t>
      </w:r>
      <w:proofErr w:type="spellEnd"/>
      <w:r w:rsidRPr="009C1897">
        <w:rPr>
          <w:b/>
          <w:u w:val="single"/>
        </w:rPr>
        <w:t xml:space="preserve"> </w:t>
      </w:r>
      <w:proofErr w:type="spellStart"/>
      <w:r w:rsidRPr="009C1897">
        <w:rPr>
          <w:b/>
          <w:u w:val="single"/>
        </w:rPr>
        <w:t>уговорних</w:t>
      </w:r>
      <w:proofErr w:type="spellEnd"/>
      <w:r w:rsidRPr="009C1897">
        <w:rPr>
          <w:b/>
          <w:u w:val="single"/>
        </w:rPr>
        <w:t xml:space="preserve"> </w:t>
      </w:r>
      <w:proofErr w:type="spellStart"/>
      <w:r w:rsidRPr="009C1897">
        <w:rPr>
          <w:b/>
          <w:u w:val="single"/>
        </w:rPr>
        <w:t>односа</w:t>
      </w:r>
      <w:proofErr w:type="spellEnd"/>
      <w:r w:rsidRPr="009C1897">
        <w:rPr>
          <w:b/>
          <w:u w:val="single"/>
        </w:rPr>
        <w:t xml:space="preserve"> </w:t>
      </w:r>
      <w:proofErr w:type="spellStart"/>
      <w:r w:rsidRPr="009C1897">
        <w:rPr>
          <w:b/>
          <w:u w:val="single"/>
        </w:rPr>
        <w:t>попут</w:t>
      </w:r>
      <w:proofErr w:type="spellEnd"/>
      <w:r w:rsidRPr="009C1897">
        <w:rPr>
          <w:b/>
          <w:u w:val="single"/>
        </w:rPr>
        <w:t xml:space="preserve"> </w:t>
      </w:r>
      <w:proofErr w:type="spellStart"/>
      <w:r w:rsidRPr="009C1897">
        <w:rPr>
          <w:b/>
          <w:u w:val="single"/>
        </w:rPr>
        <w:t>купње</w:t>
      </w:r>
      <w:proofErr w:type="spellEnd"/>
      <w:r w:rsidRPr="009C1897">
        <w:rPr>
          <w:b/>
          <w:u w:val="single"/>
        </w:rPr>
        <w:t xml:space="preserve"> </w:t>
      </w:r>
      <w:proofErr w:type="spellStart"/>
      <w:r w:rsidRPr="009C1897">
        <w:rPr>
          <w:b/>
          <w:u w:val="single"/>
        </w:rPr>
        <w:t>субјекта</w:t>
      </w:r>
      <w:proofErr w:type="spellEnd"/>
      <w:r w:rsidRPr="009C1897">
        <w:rPr>
          <w:b/>
          <w:u w:val="single"/>
        </w:rPr>
        <w:t xml:space="preserve"> </w:t>
      </w:r>
      <w:proofErr w:type="spellStart"/>
      <w:r w:rsidRPr="009C1897">
        <w:rPr>
          <w:b/>
          <w:u w:val="single"/>
        </w:rPr>
        <w:t>или</w:t>
      </w:r>
      <w:proofErr w:type="spellEnd"/>
      <w:r w:rsidRPr="009C1897">
        <w:rPr>
          <w:b/>
          <w:u w:val="single"/>
        </w:rPr>
        <w:t xml:space="preserve"> </w:t>
      </w:r>
      <w:proofErr w:type="spellStart"/>
      <w:r w:rsidRPr="009C1897">
        <w:rPr>
          <w:b/>
          <w:u w:val="single"/>
        </w:rPr>
        <w:t>друге</w:t>
      </w:r>
      <w:proofErr w:type="spellEnd"/>
      <w:r w:rsidRPr="009C1897">
        <w:rPr>
          <w:b/>
          <w:u w:val="single"/>
        </w:rPr>
        <w:t xml:space="preserve"> </w:t>
      </w:r>
      <w:proofErr w:type="spellStart"/>
      <w:r w:rsidRPr="009C1897">
        <w:rPr>
          <w:b/>
          <w:u w:val="single"/>
        </w:rPr>
        <w:t>имовине</w:t>
      </w:r>
      <w:proofErr w:type="spellEnd"/>
    </w:p>
    <w:p w:rsidR="009C1897" w:rsidRDefault="009C1897" w:rsidP="009C1897">
      <w:pPr>
        <w:spacing w:before="60"/>
        <w:jc w:val="both"/>
        <w:rPr>
          <w:b/>
          <w:u w:val="single"/>
        </w:rPr>
      </w:pPr>
    </w:p>
    <w:p w:rsidR="009C1897" w:rsidRDefault="009C1897" w:rsidP="009C1897">
      <w:pPr>
        <w:spacing w:before="60"/>
        <w:jc w:val="both"/>
        <w:rPr>
          <w:b/>
          <w:u w:val="single"/>
        </w:rPr>
      </w:pPr>
    </w:p>
    <w:p w:rsidR="009C1897" w:rsidRPr="009C1897" w:rsidRDefault="009C1897" w:rsidP="009C1897">
      <w:pPr>
        <w:numPr>
          <w:ilvl w:val="0"/>
          <w:numId w:val="1"/>
        </w:numPr>
        <w:jc w:val="both"/>
        <w:rPr>
          <w:b/>
          <w:lang w:val="sr-Cyrl-CS"/>
        </w:rPr>
      </w:pPr>
      <w:r w:rsidRPr="009C1897">
        <w:rPr>
          <w:b/>
          <w:lang w:val="sr-Cyrl-CS"/>
        </w:rPr>
        <w:t>Резерви</w:t>
      </w:r>
      <w:r w:rsidR="00EC270C">
        <w:rPr>
          <w:b/>
          <w:lang w:val="sr-Cyrl-CS"/>
        </w:rPr>
        <w:t>с</w:t>
      </w:r>
      <w:r w:rsidRPr="009C1897">
        <w:rPr>
          <w:b/>
          <w:lang w:val="sr-Cyrl-CS"/>
        </w:rPr>
        <w:t xml:space="preserve">ање треба признати када: </w:t>
      </w:r>
    </w:p>
    <w:p w:rsidR="009C1897" w:rsidRPr="009C1897" w:rsidRDefault="009C1897" w:rsidP="009C1897">
      <w:pPr>
        <w:numPr>
          <w:ilvl w:val="0"/>
          <w:numId w:val="40"/>
        </w:numPr>
        <w:spacing w:before="60"/>
        <w:ind w:left="539" w:hanging="255"/>
        <w:jc w:val="both"/>
      </w:pPr>
      <w:proofErr w:type="spellStart"/>
      <w:r w:rsidRPr="009C1897">
        <w:t>субјект</w:t>
      </w:r>
      <w:proofErr w:type="spellEnd"/>
      <w:r w:rsidRPr="009C1897">
        <w:t xml:space="preserve"> </w:t>
      </w:r>
      <w:proofErr w:type="spellStart"/>
      <w:r w:rsidRPr="009C1897">
        <w:t>има</w:t>
      </w:r>
      <w:proofErr w:type="spellEnd"/>
      <w:r w:rsidRPr="009C1897">
        <w:t xml:space="preserve"> </w:t>
      </w:r>
      <w:proofErr w:type="spellStart"/>
      <w:r w:rsidRPr="009C1897">
        <w:t>садашњу</w:t>
      </w:r>
      <w:proofErr w:type="spellEnd"/>
      <w:r w:rsidRPr="009C1897">
        <w:t xml:space="preserve"> </w:t>
      </w:r>
      <w:proofErr w:type="spellStart"/>
      <w:r w:rsidRPr="009C1897">
        <w:t>об</w:t>
      </w:r>
      <w:r w:rsidR="00EC270C">
        <w:t>а</w:t>
      </w:r>
      <w:r w:rsidRPr="009C1897">
        <w:t>везу</w:t>
      </w:r>
      <w:proofErr w:type="spellEnd"/>
      <w:r w:rsidRPr="009C1897">
        <w:t xml:space="preserve"> (</w:t>
      </w:r>
      <w:proofErr w:type="spellStart"/>
      <w:r w:rsidRPr="009C1897">
        <w:t>законску</w:t>
      </w:r>
      <w:proofErr w:type="spellEnd"/>
      <w:r w:rsidRPr="009C1897">
        <w:t xml:space="preserve"> </w:t>
      </w:r>
      <w:proofErr w:type="spellStart"/>
      <w:r w:rsidRPr="009C1897">
        <w:t>или</w:t>
      </w:r>
      <w:proofErr w:type="spellEnd"/>
      <w:r w:rsidRPr="009C1897">
        <w:t xml:space="preserve"> </w:t>
      </w:r>
      <w:proofErr w:type="spellStart"/>
      <w:r w:rsidRPr="009C1897">
        <w:t>изведену</w:t>
      </w:r>
      <w:proofErr w:type="spellEnd"/>
      <w:r w:rsidRPr="009C1897">
        <w:t xml:space="preserve">) </w:t>
      </w:r>
      <w:proofErr w:type="spellStart"/>
      <w:r w:rsidRPr="009C1897">
        <w:t>као</w:t>
      </w:r>
      <w:proofErr w:type="spellEnd"/>
      <w:r w:rsidRPr="009C1897">
        <w:t xml:space="preserve"> </w:t>
      </w:r>
      <w:proofErr w:type="spellStart"/>
      <w:r w:rsidRPr="009C1897">
        <w:t>резултат</w:t>
      </w:r>
      <w:proofErr w:type="spellEnd"/>
      <w:r w:rsidRPr="009C1897">
        <w:t xml:space="preserve"> </w:t>
      </w:r>
      <w:proofErr w:type="spellStart"/>
      <w:r w:rsidRPr="009C1897">
        <w:t>прошлог</w:t>
      </w:r>
      <w:proofErr w:type="spellEnd"/>
      <w:r w:rsidRPr="009C1897">
        <w:t xml:space="preserve"> </w:t>
      </w:r>
      <w:proofErr w:type="spellStart"/>
      <w:r w:rsidRPr="009C1897">
        <w:t>догађаја</w:t>
      </w:r>
      <w:proofErr w:type="spellEnd"/>
    </w:p>
    <w:p w:rsidR="009C1897" w:rsidRPr="009C1897" w:rsidRDefault="009C1897" w:rsidP="009C1897">
      <w:pPr>
        <w:numPr>
          <w:ilvl w:val="0"/>
          <w:numId w:val="40"/>
        </w:numPr>
        <w:spacing w:before="60"/>
        <w:ind w:left="539" w:hanging="255"/>
        <w:jc w:val="both"/>
      </w:pPr>
      <w:proofErr w:type="spellStart"/>
      <w:r w:rsidRPr="009C1897">
        <w:t>ј</w:t>
      </w:r>
      <w:r w:rsidR="00EC270C">
        <w:t>е</w:t>
      </w:r>
      <w:proofErr w:type="spellEnd"/>
      <w:r w:rsidR="00EC270C">
        <w:t xml:space="preserve"> </w:t>
      </w:r>
      <w:proofErr w:type="spellStart"/>
      <w:r w:rsidR="00EC270C">
        <w:t>вјеров</w:t>
      </w:r>
      <w:r w:rsidRPr="009C1897">
        <w:t>атно</w:t>
      </w:r>
      <w:proofErr w:type="spellEnd"/>
      <w:r w:rsidRPr="009C1897">
        <w:t xml:space="preserve"> </w:t>
      </w:r>
      <w:proofErr w:type="spellStart"/>
      <w:r w:rsidRPr="009C1897">
        <w:t>како</w:t>
      </w:r>
      <w:proofErr w:type="spellEnd"/>
      <w:r w:rsidRPr="009C1897">
        <w:t xml:space="preserve"> </w:t>
      </w:r>
      <w:proofErr w:type="spellStart"/>
      <w:r w:rsidRPr="009C1897">
        <w:t>ће</w:t>
      </w:r>
      <w:proofErr w:type="spellEnd"/>
      <w:r w:rsidRPr="009C1897">
        <w:t xml:space="preserve"> </w:t>
      </w:r>
      <w:proofErr w:type="spellStart"/>
      <w:r w:rsidRPr="009C1897">
        <w:t>подмирење</w:t>
      </w:r>
      <w:proofErr w:type="spellEnd"/>
      <w:r w:rsidRPr="009C1897">
        <w:t xml:space="preserve"> </w:t>
      </w:r>
      <w:proofErr w:type="spellStart"/>
      <w:r w:rsidRPr="009C1897">
        <w:t>об</w:t>
      </w:r>
      <w:r w:rsidR="00EC270C">
        <w:t>а</w:t>
      </w:r>
      <w:r w:rsidRPr="009C1897">
        <w:t>везе</w:t>
      </w:r>
      <w:proofErr w:type="spellEnd"/>
      <w:r w:rsidRPr="009C1897">
        <w:t xml:space="preserve"> </w:t>
      </w:r>
      <w:proofErr w:type="spellStart"/>
      <w:r w:rsidRPr="009C1897">
        <w:t>захтијевати</w:t>
      </w:r>
      <w:proofErr w:type="spellEnd"/>
      <w:r w:rsidRPr="009C1897">
        <w:t xml:space="preserve"> </w:t>
      </w:r>
      <w:proofErr w:type="spellStart"/>
      <w:r w:rsidRPr="009C1897">
        <w:t>од</w:t>
      </w:r>
      <w:r w:rsidR="00EC270C">
        <w:t>ли</w:t>
      </w:r>
      <w:r w:rsidRPr="009C1897">
        <w:t>в</w:t>
      </w:r>
      <w:proofErr w:type="spellEnd"/>
      <w:r w:rsidRPr="009C1897">
        <w:t xml:space="preserve"> </w:t>
      </w:r>
      <w:proofErr w:type="spellStart"/>
      <w:r w:rsidRPr="009C1897">
        <w:t>ресурса</w:t>
      </w:r>
      <w:proofErr w:type="spellEnd"/>
      <w:r w:rsidRPr="009C1897">
        <w:t xml:space="preserve"> </w:t>
      </w:r>
      <w:proofErr w:type="spellStart"/>
      <w:r w:rsidRPr="009C1897">
        <w:t>који</w:t>
      </w:r>
      <w:proofErr w:type="spellEnd"/>
      <w:r w:rsidRPr="009C1897">
        <w:t xml:space="preserve"> </w:t>
      </w:r>
      <w:proofErr w:type="spellStart"/>
      <w:r w:rsidR="00EC270C">
        <w:t>представљају</w:t>
      </w:r>
      <w:proofErr w:type="spellEnd"/>
      <w:r w:rsidRPr="009C1897">
        <w:t xml:space="preserve"> </w:t>
      </w:r>
      <w:proofErr w:type="spellStart"/>
      <w:r w:rsidRPr="009C1897">
        <w:t>економске</w:t>
      </w:r>
      <w:proofErr w:type="spellEnd"/>
      <w:r w:rsidRPr="009C1897">
        <w:t xml:space="preserve"> </w:t>
      </w:r>
      <w:proofErr w:type="spellStart"/>
      <w:r w:rsidRPr="009C1897">
        <w:t>користи</w:t>
      </w:r>
      <w:proofErr w:type="spellEnd"/>
    </w:p>
    <w:p w:rsidR="009C1897" w:rsidRPr="009C1897" w:rsidRDefault="009C1897" w:rsidP="009C1897">
      <w:pPr>
        <w:numPr>
          <w:ilvl w:val="0"/>
          <w:numId w:val="40"/>
        </w:numPr>
        <w:spacing w:before="60"/>
        <w:ind w:left="539" w:hanging="255"/>
        <w:jc w:val="both"/>
      </w:pPr>
      <w:proofErr w:type="spellStart"/>
      <w:r w:rsidRPr="009C1897">
        <w:t>се</w:t>
      </w:r>
      <w:proofErr w:type="spellEnd"/>
      <w:r w:rsidRPr="009C1897">
        <w:t xml:space="preserve"> </w:t>
      </w:r>
      <w:proofErr w:type="spellStart"/>
      <w:r w:rsidRPr="009C1897">
        <w:t>износ</w:t>
      </w:r>
      <w:proofErr w:type="spellEnd"/>
      <w:r w:rsidRPr="009C1897">
        <w:t xml:space="preserve"> </w:t>
      </w:r>
      <w:proofErr w:type="spellStart"/>
      <w:r w:rsidRPr="009C1897">
        <w:t>об</w:t>
      </w:r>
      <w:r w:rsidR="00EC270C">
        <w:t>а</w:t>
      </w:r>
      <w:r w:rsidRPr="009C1897">
        <w:t>везе</w:t>
      </w:r>
      <w:proofErr w:type="spellEnd"/>
      <w:r w:rsidRPr="009C1897">
        <w:t xml:space="preserve"> </w:t>
      </w:r>
      <w:proofErr w:type="spellStart"/>
      <w:r w:rsidRPr="009C1897">
        <w:t>може</w:t>
      </w:r>
      <w:proofErr w:type="spellEnd"/>
      <w:r w:rsidRPr="009C1897">
        <w:t xml:space="preserve"> </w:t>
      </w:r>
      <w:proofErr w:type="spellStart"/>
      <w:r w:rsidRPr="009C1897">
        <w:t>поуздано</w:t>
      </w:r>
      <w:proofErr w:type="spellEnd"/>
      <w:r w:rsidRPr="009C1897">
        <w:t xml:space="preserve"> </w:t>
      </w:r>
      <w:proofErr w:type="spellStart"/>
      <w:r w:rsidRPr="009C1897">
        <w:t>процијенити</w:t>
      </w:r>
      <w:proofErr w:type="spellEnd"/>
      <w:r w:rsidRPr="009C1897">
        <w:t xml:space="preserve"> </w:t>
      </w:r>
    </w:p>
    <w:p w:rsidR="009C1897" w:rsidRPr="009C1897" w:rsidRDefault="009C1897" w:rsidP="009C1897">
      <w:pPr>
        <w:numPr>
          <w:ilvl w:val="0"/>
          <w:numId w:val="40"/>
        </w:numPr>
        <w:spacing w:before="60"/>
        <w:ind w:left="539" w:hanging="255"/>
        <w:jc w:val="both"/>
        <w:rPr>
          <w:b/>
          <w:u w:val="single"/>
        </w:rPr>
      </w:pPr>
      <w:proofErr w:type="spellStart"/>
      <w:r w:rsidRPr="009C1897">
        <w:rPr>
          <w:b/>
          <w:u w:val="single"/>
        </w:rPr>
        <w:t>су</w:t>
      </w:r>
      <w:proofErr w:type="spellEnd"/>
      <w:r w:rsidRPr="009C1897">
        <w:rPr>
          <w:b/>
          <w:u w:val="single"/>
        </w:rPr>
        <w:t xml:space="preserve"> </w:t>
      </w:r>
      <w:proofErr w:type="spellStart"/>
      <w:r w:rsidRPr="009C1897">
        <w:rPr>
          <w:b/>
          <w:u w:val="single"/>
        </w:rPr>
        <w:t>кумулативно</w:t>
      </w:r>
      <w:proofErr w:type="spellEnd"/>
      <w:r w:rsidRPr="009C1897">
        <w:rPr>
          <w:b/>
          <w:u w:val="single"/>
        </w:rPr>
        <w:t xml:space="preserve"> </w:t>
      </w:r>
      <w:proofErr w:type="spellStart"/>
      <w:r w:rsidRPr="009C1897">
        <w:rPr>
          <w:b/>
          <w:u w:val="single"/>
        </w:rPr>
        <w:t>испуњени</w:t>
      </w:r>
      <w:proofErr w:type="spellEnd"/>
      <w:r w:rsidRPr="009C1897">
        <w:rPr>
          <w:b/>
          <w:u w:val="single"/>
        </w:rPr>
        <w:t xml:space="preserve"> </w:t>
      </w:r>
      <w:proofErr w:type="spellStart"/>
      <w:r w:rsidRPr="009C1897">
        <w:rPr>
          <w:b/>
          <w:u w:val="single"/>
        </w:rPr>
        <w:t>сви</w:t>
      </w:r>
      <w:proofErr w:type="spellEnd"/>
      <w:r w:rsidRPr="009C1897">
        <w:rPr>
          <w:b/>
          <w:u w:val="single"/>
        </w:rPr>
        <w:t xml:space="preserve"> </w:t>
      </w:r>
      <w:proofErr w:type="spellStart"/>
      <w:r w:rsidRPr="009C1897">
        <w:rPr>
          <w:b/>
          <w:u w:val="single"/>
        </w:rPr>
        <w:t>горе</w:t>
      </w:r>
      <w:proofErr w:type="spellEnd"/>
      <w:r w:rsidRPr="009C1897">
        <w:rPr>
          <w:b/>
          <w:u w:val="single"/>
        </w:rPr>
        <w:t xml:space="preserve"> </w:t>
      </w:r>
      <w:proofErr w:type="spellStart"/>
      <w:r w:rsidRPr="009C1897">
        <w:rPr>
          <w:b/>
          <w:u w:val="single"/>
        </w:rPr>
        <w:t>наведени</w:t>
      </w:r>
      <w:proofErr w:type="spellEnd"/>
      <w:r w:rsidRPr="009C1897">
        <w:rPr>
          <w:b/>
          <w:u w:val="single"/>
        </w:rPr>
        <w:t xml:space="preserve"> </w:t>
      </w:r>
      <w:proofErr w:type="spellStart"/>
      <w:r w:rsidRPr="009C1897">
        <w:rPr>
          <w:b/>
          <w:u w:val="single"/>
        </w:rPr>
        <w:t>увјети</w:t>
      </w:r>
      <w:proofErr w:type="spellEnd"/>
      <w:r w:rsidRPr="009C1897">
        <w:rPr>
          <w:b/>
          <w:u w:val="single"/>
        </w:rPr>
        <w:t xml:space="preserve"> </w:t>
      </w:r>
    </w:p>
    <w:p w:rsidR="009C1897" w:rsidRDefault="009C1897" w:rsidP="009C1897">
      <w:pPr>
        <w:spacing w:before="60"/>
        <w:jc w:val="both"/>
        <w:rPr>
          <w:b/>
          <w:u w:val="single"/>
        </w:rPr>
      </w:pPr>
    </w:p>
    <w:p w:rsidR="009E7991" w:rsidRPr="009C1897" w:rsidRDefault="009E7991" w:rsidP="009C1897">
      <w:pPr>
        <w:spacing w:before="60"/>
        <w:jc w:val="both"/>
        <w:rPr>
          <w:b/>
          <w:u w:val="single"/>
        </w:rPr>
      </w:pPr>
    </w:p>
    <w:p w:rsidR="009C1897" w:rsidRPr="009C1897" w:rsidRDefault="009C1897" w:rsidP="009C1897">
      <w:pPr>
        <w:numPr>
          <w:ilvl w:val="0"/>
          <w:numId w:val="1"/>
        </w:numPr>
        <w:jc w:val="both"/>
        <w:rPr>
          <w:b/>
          <w:lang w:val="sr-Cyrl-CS"/>
        </w:rPr>
      </w:pPr>
      <w:r w:rsidRPr="009C1897">
        <w:rPr>
          <w:b/>
          <w:lang w:val="sr-Cyrl-CS"/>
        </w:rPr>
        <w:t>Који, од испод наведених, су показатељи инвестирања:</w:t>
      </w:r>
    </w:p>
    <w:p w:rsidR="009C1897" w:rsidRPr="009C1897" w:rsidRDefault="009C1897" w:rsidP="009C1897">
      <w:pPr>
        <w:pStyle w:val="pododlomak"/>
        <w:numPr>
          <w:ilvl w:val="0"/>
          <w:numId w:val="45"/>
        </w:numPr>
        <w:tabs>
          <w:tab w:val="clear" w:pos="907"/>
          <w:tab w:val="clear" w:pos="2700"/>
          <w:tab w:val="num" w:pos="540"/>
        </w:tabs>
        <w:spacing w:before="60" w:after="0" w:line="240" w:lineRule="auto"/>
        <w:ind w:left="539" w:hanging="255"/>
        <w:rPr>
          <w:rFonts w:ascii="Times New Roman"/>
          <w:sz w:val="24"/>
          <w:szCs w:val="24"/>
          <w:lang w:val="hr-HR"/>
        </w:rPr>
      </w:pPr>
      <w:r w:rsidRPr="009C1897">
        <w:rPr>
          <w:rFonts w:ascii="Times New Roman"/>
          <w:sz w:val="24"/>
          <w:szCs w:val="24"/>
          <w:lang w:val="hr-HR"/>
        </w:rPr>
        <w:t>коефицијент задужености</w:t>
      </w:r>
    </w:p>
    <w:p w:rsidR="009C1897" w:rsidRPr="009C1897" w:rsidRDefault="009C1897" w:rsidP="009C1897">
      <w:pPr>
        <w:pStyle w:val="pododlomak"/>
        <w:numPr>
          <w:ilvl w:val="0"/>
          <w:numId w:val="45"/>
        </w:numPr>
        <w:tabs>
          <w:tab w:val="clear" w:pos="907"/>
          <w:tab w:val="clear" w:pos="2700"/>
          <w:tab w:val="num" w:pos="540"/>
        </w:tabs>
        <w:spacing w:before="60" w:after="0" w:line="240" w:lineRule="auto"/>
        <w:ind w:left="539" w:hanging="255"/>
        <w:rPr>
          <w:rFonts w:ascii="Times New Roman"/>
          <w:sz w:val="24"/>
          <w:szCs w:val="24"/>
          <w:lang w:val="hr-HR"/>
        </w:rPr>
      </w:pPr>
      <w:r w:rsidRPr="009C1897">
        <w:rPr>
          <w:rFonts w:ascii="Times New Roman"/>
          <w:sz w:val="24"/>
          <w:szCs w:val="24"/>
          <w:lang w:val="hr-HR"/>
        </w:rPr>
        <w:t>бруто маржа профита</w:t>
      </w:r>
    </w:p>
    <w:p w:rsidR="009C1897" w:rsidRPr="009C1897" w:rsidRDefault="009C1897" w:rsidP="009C1897">
      <w:pPr>
        <w:pStyle w:val="pododlomak"/>
        <w:numPr>
          <w:ilvl w:val="0"/>
          <w:numId w:val="45"/>
        </w:numPr>
        <w:tabs>
          <w:tab w:val="clear" w:pos="907"/>
          <w:tab w:val="clear" w:pos="2700"/>
          <w:tab w:val="num" w:pos="540"/>
        </w:tabs>
        <w:spacing w:before="60" w:after="0" w:line="240" w:lineRule="auto"/>
        <w:ind w:left="539" w:hanging="255"/>
        <w:rPr>
          <w:rFonts w:ascii="Times New Roman"/>
          <w:b/>
          <w:sz w:val="24"/>
          <w:szCs w:val="24"/>
          <w:u w:val="single"/>
          <w:lang w:val="hr-HR"/>
        </w:rPr>
      </w:pPr>
      <w:r w:rsidRPr="009C1897">
        <w:rPr>
          <w:rFonts w:ascii="Times New Roman"/>
          <w:b/>
          <w:sz w:val="24"/>
          <w:szCs w:val="24"/>
          <w:u w:val="single"/>
          <w:lang w:val="hr-HR"/>
        </w:rPr>
        <w:t xml:space="preserve">зарада по </w:t>
      </w:r>
      <w:r>
        <w:rPr>
          <w:rFonts w:ascii="Times New Roman"/>
          <w:b/>
          <w:sz w:val="24"/>
          <w:szCs w:val="24"/>
          <w:u w:val="single"/>
          <w:lang w:val="hr-HR"/>
        </w:rPr>
        <w:t>акциј</w:t>
      </w:r>
      <w:r w:rsidRPr="009C1897">
        <w:rPr>
          <w:rFonts w:ascii="Times New Roman"/>
          <w:b/>
          <w:sz w:val="24"/>
          <w:szCs w:val="24"/>
          <w:u w:val="single"/>
          <w:lang w:val="hr-HR"/>
        </w:rPr>
        <w:t xml:space="preserve">и </w:t>
      </w:r>
    </w:p>
    <w:p w:rsidR="009C1897" w:rsidRPr="009C1897" w:rsidRDefault="009C1897" w:rsidP="009C1897">
      <w:pPr>
        <w:pStyle w:val="pododlomak"/>
        <w:numPr>
          <w:ilvl w:val="0"/>
          <w:numId w:val="45"/>
        </w:numPr>
        <w:tabs>
          <w:tab w:val="clear" w:pos="907"/>
          <w:tab w:val="clear" w:pos="2700"/>
          <w:tab w:val="num" w:pos="540"/>
        </w:tabs>
        <w:spacing w:before="60" w:after="0" w:line="240" w:lineRule="auto"/>
        <w:ind w:left="539" w:hanging="255"/>
        <w:rPr>
          <w:rFonts w:ascii="Times New Roman"/>
          <w:b/>
          <w:sz w:val="24"/>
          <w:szCs w:val="24"/>
          <w:u w:val="single"/>
          <w:lang w:val="hr-HR"/>
        </w:rPr>
      </w:pPr>
      <w:r w:rsidRPr="009C1897">
        <w:rPr>
          <w:rFonts w:ascii="Times New Roman"/>
          <w:b/>
          <w:sz w:val="24"/>
          <w:szCs w:val="24"/>
          <w:u w:val="single"/>
          <w:lang w:val="hr-HR"/>
        </w:rPr>
        <w:t xml:space="preserve">дивиденда по </w:t>
      </w:r>
      <w:r>
        <w:rPr>
          <w:rFonts w:ascii="Times New Roman"/>
          <w:b/>
          <w:sz w:val="24"/>
          <w:szCs w:val="24"/>
          <w:u w:val="single"/>
          <w:lang w:val="hr-HR"/>
        </w:rPr>
        <w:t>акциј</w:t>
      </w:r>
      <w:r w:rsidRPr="009C1897">
        <w:rPr>
          <w:rFonts w:ascii="Times New Roman"/>
          <w:b/>
          <w:sz w:val="24"/>
          <w:szCs w:val="24"/>
          <w:u w:val="single"/>
          <w:lang w:val="hr-HR"/>
        </w:rPr>
        <w:t xml:space="preserve">и </w:t>
      </w:r>
    </w:p>
    <w:p w:rsidR="009C1897" w:rsidRPr="009C1897" w:rsidRDefault="009C1897" w:rsidP="009C1897">
      <w:pPr>
        <w:spacing w:before="60"/>
        <w:jc w:val="both"/>
      </w:pPr>
    </w:p>
    <w:p w:rsidR="00EC270C" w:rsidRDefault="00EC270C" w:rsidP="00EC270C">
      <w:pPr>
        <w:spacing w:before="60"/>
        <w:ind w:left="539"/>
        <w:jc w:val="both"/>
      </w:pPr>
    </w:p>
    <w:p w:rsidR="009E7991" w:rsidRPr="009C1897" w:rsidRDefault="009E7991" w:rsidP="00EC270C">
      <w:pPr>
        <w:spacing w:before="60"/>
        <w:ind w:left="539"/>
        <w:jc w:val="both"/>
      </w:pPr>
    </w:p>
    <w:p w:rsidR="009C1897" w:rsidRPr="009C1897" w:rsidRDefault="009C1897" w:rsidP="009C1897">
      <w:pPr>
        <w:numPr>
          <w:ilvl w:val="0"/>
          <w:numId w:val="1"/>
        </w:numPr>
        <w:jc w:val="both"/>
        <w:rPr>
          <w:b/>
          <w:lang w:val="sr-Cyrl-CS"/>
        </w:rPr>
      </w:pPr>
      <w:r w:rsidRPr="009C1897">
        <w:rPr>
          <w:b/>
          <w:lang w:val="sr-Cyrl-CS"/>
        </w:rPr>
        <w:t>П</w:t>
      </w:r>
      <w:r w:rsidR="00EC270C">
        <w:rPr>
          <w:b/>
          <w:lang w:val="sr-Cyrl-CS"/>
        </w:rPr>
        <w:t>ре</w:t>
      </w:r>
      <w:r w:rsidRPr="009C1897">
        <w:rPr>
          <w:b/>
          <w:lang w:val="sr-Cyrl-CS"/>
        </w:rPr>
        <w:t xml:space="preserve">дузеће ''XY'' је продало 500 </w:t>
      </w:r>
      <w:r>
        <w:rPr>
          <w:b/>
          <w:lang w:val="sr-Cyrl-CS"/>
        </w:rPr>
        <w:t>акциј</w:t>
      </w:r>
      <w:r w:rsidRPr="009C1897">
        <w:rPr>
          <w:b/>
          <w:lang w:val="sr-Cyrl-CS"/>
        </w:rPr>
        <w:t xml:space="preserve">а по тржишној цијени од 99 КМ по </w:t>
      </w:r>
      <w:r>
        <w:rPr>
          <w:b/>
          <w:lang w:val="sr-Cyrl-CS"/>
        </w:rPr>
        <w:t>акциј</w:t>
      </w:r>
      <w:r w:rsidRPr="009C1897">
        <w:rPr>
          <w:b/>
          <w:lang w:val="sr-Cyrl-CS"/>
        </w:rPr>
        <w:t>и. Брокерска провизија је 1.000 КМ, а накнада б</w:t>
      </w:r>
      <w:r w:rsidR="000B1CE1">
        <w:rPr>
          <w:b/>
          <w:lang w:val="sr-Cyrl-CS"/>
        </w:rPr>
        <w:t>е</w:t>
      </w:r>
      <w:r w:rsidRPr="009C1897">
        <w:rPr>
          <w:b/>
          <w:lang w:val="sr-Cyrl-CS"/>
        </w:rPr>
        <w:t>рзи је 700 КМ. Трошак ст</w:t>
      </w:r>
      <w:r w:rsidR="000B1CE1">
        <w:rPr>
          <w:b/>
          <w:lang w:val="sr-Cyrl-CS"/>
        </w:rPr>
        <w:t>и</w:t>
      </w:r>
      <w:r w:rsidRPr="009C1897">
        <w:rPr>
          <w:b/>
          <w:lang w:val="sr-Cyrl-CS"/>
        </w:rPr>
        <w:t xml:space="preserve">цања је 96 КМ по </w:t>
      </w:r>
      <w:r>
        <w:rPr>
          <w:b/>
          <w:lang w:val="sr-Cyrl-CS"/>
        </w:rPr>
        <w:t>акциј</w:t>
      </w:r>
      <w:r w:rsidRPr="009C1897">
        <w:rPr>
          <w:b/>
          <w:lang w:val="sr-Cyrl-CS"/>
        </w:rPr>
        <w:t xml:space="preserve">и, а књиговодствена вриједност </w:t>
      </w:r>
      <w:r>
        <w:rPr>
          <w:b/>
          <w:lang w:val="sr-Cyrl-CS"/>
        </w:rPr>
        <w:t>акциј</w:t>
      </w:r>
      <w:r w:rsidRPr="009C1897">
        <w:rPr>
          <w:b/>
          <w:lang w:val="sr-Cyrl-CS"/>
        </w:rPr>
        <w:t>а износи 100 КМ. Резултат ове трансакције је:</w:t>
      </w:r>
    </w:p>
    <w:p w:rsidR="009C1897" w:rsidRPr="009C1897" w:rsidRDefault="009C1897" w:rsidP="009C1897">
      <w:pPr>
        <w:numPr>
          <w:ilvl w:val="1"/>
          <w:numId w:val="44"/>
        </w:numPr>
        <w:tabs>
          <w:tab w:val="num" w:pos="540"/>
        </w:tabs>
        <w:spacing w:before="60"/>
        <w:ind w:left="539" w:hanging="255"/>
        <w:jc w:val="both"/>
      </w:pPr>
      <w:proofErr w:type="spellStart"/>
      <w:r w:rsidRPr="009C1897">
        <w:t>добитак</w:t>
      </w:r>
      <w:proofErr w:type="spellEnd"/>
      <w:r w:rsidRPr="009C1897">
        <w:t xml:space="preserve"> </w:t>
      </w:r>
      <w:proofErr w:type="spellStart"/>
      <w:r w:rsidRPr="009C1897">
        <w:t>од</w:t>
      </w:r>
      <w:proofErr w:type="spellEnd"/>
      <w:r w:rsidRPr="009C1897">
        <w:t xml:space="preserve"> </w:t>
      </w:r>
      <w:proofErr w:type="spellStart"/>
      <w:r w:rsidRPr="009C1897">
        <w:t>продаје</w:t>
      </w:r>
      <w:proofErr w:type="spellEnd"/>
      <w:r w:rsidRPr="009C1897">
        <w:t xml:space="preserve"> 2.000 КМ</w:t>
      </w:r>
    </w:p>
    <w:p w:rsidR="009C1897" w:rsidRPr="009C1897" w:rsidRDefault="009C1897" w:rsidP="009C1897">
      <w:pPr>
        <w:numPr>
          <w:ilvl w:val="1"/>
          <w:numId w:val="44"/>
        </w:numPr>
        <w:tabs>
          <w:tab w:val="num" w:pos="540"/>
        </w:tabs>
        <w:spacing w:before="60"/>
        <w:ind w:left="539" w:hanging="255"/>
        <w:jc w:val="both"/>
      </w:pPr>
      <w:proofErr w:type="spellStart"/>
      <w:r w:rsidRPr="009C1897">
        <w:t>добитак</w:t>
      </w:r>
      <w:proofErr w:type="spellEnd"/>
      <w:r w:rsidRPr="009C1897">
        <w:t xml:space="preserve"> </w:t>
      </w:r>
      <w:proofErr w:type="spellStart"/>
      <w:r w:rsidRPr="009C1897">
        <w:t>од</w:t>
      </w:r>
      <w:proofErr w:type="spellEnd"/>
      <w:r w:rsidRPr="009C1897">
        <w:t xml:space="preserve"> </w:t>
      </w:r>
      <w:proofErr w:type="spellStart"/>
      <w:r w:rsidRPr="009C1897">
        <w:t>продаје</w:t>
      </w:r>
      <w:proofErr w:type="spellEnd"/>
      <w:r w:rsidRPr="009C1897">
        <w:t xml:space="preserve">    300 КМ</w:t>
      </w:r>
    </w:p>
    <w:p w:rsidR="009C1897" w:rsidRPr="009C1897" w:rsidRDefault="009C1897" w:rsidP="009C1897">
      <w:pPr>
        <w:numPr>
          <w:ilvl w:val="1"/>
          <w:numId w:val="44"/>
        </w:numPr>
        <w:tabs>
          <w:tab w:val="num" w:pos="540"/>
        </w:tabs>
        <w:spacing w:before="60"/>
        <w:ind w:left="539" w:hanging="255"/>
        <w:jc w:val="both"/>
        <w:rPr>
          <w:b/>
          <w:u w:val="single"/>
        </w:rPr>
      </w:pPr>
      <w:proofErr w:type="spellStart"/>
      <w:r w:rsidRPr="009C1897">
        <w:rPr>
          <w:b/>
          <w:u w:val="single"/>
        </w:rPr>
        <w:t>губитак</w:t>
      </w:r>
      <w:proofErr w:type="spellEnd"/>
      <w:r w:rsidRPr="009C1897">
        <w:rPr>
          <w:b/>
          <w:u w:val="single"/>
        </w:rPr>
        <w:t xml:space="preserve"> </w:t>
      </w:r>
      <w:proofErr w:type="spellStart"/>
      <w:r w:rsidRPr="009C1897">
        <w:rPr>
          <w:b/>
          <w:u w:val="single"/>
        </w:rPr>
        <w:t>од</w:t>
      </w:r>
      <w:proofErr w:type="spellEnd"/>
      <w:r w:rsidRPr="009C1897">
        <w:rPr>
          <w:b/>
          <w:u w:val="single"/>
        </w:rPr>
        <w:t xml:space="preserve"> </w:t>
      </w:r>
      <w:proofErr w:type="spellStart"/>
      <w:r w:rsidRPr="009C1897">
        <w:rPr>
          <w:b/>
          <w:u w:val="single"/>
        </w:rPr>
        <w:t>продаје</w:t>
      </w:r>
      <w:proofErr w:type="spellEnd"/>
      <w:r w:rsidRPr="009C1897">
        <w:rPr>
          <w:b/>
          <w:u w:val="single"/>
        </w:rPr>
        <w:t xml:space="preserve">    200 КМ</w:t>
      </w:r>
    </w:p>
    <w:p w:rsidR="009C1897" w:rsidRPr="000B1CE1" w:rsidRDefault="009C1897" w:rsidP="009C1897">
      <w:pPr>
        <w:numPr>
          <w:ilvl w:val="1"/>
          <w:numId w:val="44"/>
        </w:numPr>
        <w:tabs>
          <w:tab w:val="num" w:pos="540"/>
        </w:tabs>
        <w:spacing w:before="60"/>
        <w:ind w:left="539" w:hanging="255"/>
        <w:jc w:val="both"/>
      </w:pPr>
      <w:proofErr w:type="spellStart"/>
      <w:r w:rsidRPr="009C1897">
        <w:t>губитак</w:t>
      </w:r>
      <w:proofErr w:type="spellEnd"/>
      <w:r w:rsidRPr="009C1897">
        <w:t xml:space="preserve"> </w:t>
      </w:r>
      <w:proofErr w:type="spellStart"/>
      <w:r w:rsidRPr="009C1897">
        <w:t>од</w:t>
      </w:r>
      <w:proofErr w:type="spellEnd"/>
      <w:r w:rsidRPr="009C1897">
        <w:t xml:space="preserve"> </w:t>
      </w:r>
      <w:proofErr w:type="spellStart"/>
      <w:r w:rsidRPr="009C1897">
        <w:t>продаје</w:t>
      </w:r>
      <w:proofErr w:type="spellEnd"/>
      <w:r w:rsidRPr="009C1897">
        <w:t xml:space="preserve"> 2.200 КМ</w:t>
      </w:r>
    </w:p>
    <w:p w:rsidR="000B1CE1" w:rsidRPr="009C1897" w:rsidRDefault="000B1CE1" w:rsidP="000B1CE1">
      <w:pPr>
        <w:spacing w:before="60"/>
        <w:jc w:val="both"/>
      </w:pPr>
    </w:p>
    <w:p w:rsidR="00DC0C18" w:rsidRPr="00DC0C18" w:rsidRDefault="00DC0C18" w:rsidP="00862438">
      <w:pPr>
        <w:jc w:val="both"/>
        <w:rPr>
          <w:b/>
        </w:rPr>
      </w:pPr>
    </w:p>
    <w:p w:rsidR="0064701C" w:rsidRPr="00CF5D5A" w:rsidRDefault="0064701C" w:rsidP="00CF5D5A">
      <w:pPr>
        <w:ind w:left="360"/>
        <w:jc w:val="both"/>
        <w:rPr>
          <w:i/>
          <w:lang w:val="sr-Cyrl-CS"/>
        </w:rPr>
      </w:pPr>
    </w:p>
    <w:p w:rsidR="0064701C" w:rsidRPr="009E7991" w:rsidRDefault="009C1897" w:rsidP="00CF5D5A">
      <w:pPr>
        <w:jc w:val="both"/>
        <w:rPr>
          <w:b/>
        </w:rPr>
      </w:pPr>
      <w:r>
        <w:rPr>
          <w:b/>
          <w:lang w:val="sr-Cyrl-CS"/>
        </w:rPr>
        <w:br w:type="page"/>
      </w:r>
      <w:r w:rsidR="0064701C" w:rsidRPr="00862438">
        <w:rPr>
          <w:b/>
          <w:lang w:val="sr-Cyrl-CS"/>
        </w:rPr>
        <w:lastRenderedPageBreak/>
        <w:t>ЗАДА</w:t>
      </w:r>
      <w:r w:rsidR="009E7991">
        <w:rPr>
          <w:b/>
        </w:rPr>
        <w:t>TAK</w:t>
      </w:r>
    </w:p>
    <w:p w:rsidR="0064701C" w:rsidRPr="00862438" w:rsidRDefault="0064701C" w:rsidP="00CF5D5A">
      <w:pPr>
        <w:jc w:val="both"/>
        <w:rPr>
          <w:b/>
          <w:lang w:val="ru-RU"/>
        </w:rPr>
      </w:pPr>
    </w:p>
    <w:p w:rsidR="00DC0C18" w:rsidRPr="00487592"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BA"/>
        </w:rPr>
        <w:t xml:space="preserve">За потребе обављања властите производне дјелатности, </w:t>
      </w:r>
      <w:r>
        <w:rPr>
          <w:rFonts w:ascii="Times New Roman" w:hAnsi="Times New Roman" w:cs="Arial"/>
          <w:sz w:val="24"/>
          <w:szCs w:val="24"/>
          <w:lang w:val="sr-Cyrl-CS"/>
        </w:rPr>
        <w:t xml:space="preserve">током </w:t>
      </w:r>
      <w:r w:rsidRPr="00F65A18">
        <w:rPr>
          <w:rFonts w:ascii="Times New Roman" w:hAnsi="Times New Roman" w:cs="Arial"/>
          <w:sz w:val="24"/>
          <w:szCs w:val="24"/>
          <w:lang w:val="ru-RU"/>
        </w:rPr>
        <w:t>200</w:t>
      </w:r>
      <w:r>
        <w:rPr>
          <w:rFonts w:ascii="Times New Roman" w:hAnsi="Times New Roman" w:cs="Arial"/>
          <w:sz w:val="24"/>
          <w:szCs w:val="24"/>
          <w:lang w:val="ru-RU"/>
        </w:rPr>
        <w:t>8</w:t>
      </w:r>
      <w:r w:rsidRPr="00F65A18">
        <w:rPr>
          <w:rFonts w:ascii="Times New Roman" w:hAnsi="Times New Roman" w:cs="Arial"/>
          <w:sz w:val="24"/>
          <w:szCs w:val="24"/>
          <w:lang w:val="ru-RU"/>
        </w:rPr>
        <w:t xml:space="preserve">. </w:t>
      </w:r>
      <w:r w:rsidRPr="00487592">
        <w:rPr>
          <w:rFonts w:ascii="Times New Roman" w:hAnsi="Times New Roman" w:cs="Arial"/>
          <w:sz w:val="24"/>
          <w:szCs w:val="24"/>
          <w:lang w:val="sr-Cyrl-CS"/>
        </w:rPr>
        <w:t xml:space="preserve">године </w:t>
      </w:r>
      <w:r>
        <w:rPr>
          <w:rFonts w:ascii="Times New Roman" w:hAnsi="Times New Roman" w:cs="Arial"/>
          <w:sz w:val="24"/>
          <w:szCs w:val="24"/>
          <w:lang w:val="sr-Cyrl-CS"/>
        </w:rPr>
        <w:t>набављена је производна хала.</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У набавку је уложено 585</w:t>
      </w:r>
      <w:r w:rsidRPr="00487592">
        <w:rPr>
          <w:rFonts w:ascii="Times New Roman" w:hAnsi="Times New Roman" w:cs="Arial"/>
          <w:sz w:val="24"/>
          <w:szCs w:val="24"/>
          <w:lang w:val="sr-Cyrl-CS"/>
        </w:rPr>
        <w:t>.000 КМ</w:t>
      </w:r>
      <w:r>
        <w:rPr>
          <w:rFonts w:ascii="Times New Roman" w:hAnsi="Times New Roman" w:cs="Arial"/>
          <w:sz w:val="24"/>
          <w:szCs w:val="24"/>
          <w:lang w:val="sr-Cyrl-CS"/>
        </w:rPr>
        <w:t>, рачунајући ПДВ обрачунат од стране извођача радова</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 xml:space="preserve">Извршен је технички пријем објекта и хала је 01. јула стављена у употребу. Процијењени корисни вијек хале је 50 година. Амортизација се врши линеарном методом. Процијењена резидуална вриједност износи 50.000 КМ. </w:t>
      </w:r>
      <w:r w:rsidRPr="00487592">
        <w:rPr>
          <w:rFonts w:ascii="Times New Roman" w:hAnsi="Times New Roman" w:cs="Arial"/>
          <w:sz w:val="24"/>
          <w:szCs w:val="24"/>
          <w:lang w:val="sr-Cyrl-CS"/>
        </w:rPr>
        <w:t xml:space="preserve">У </w:t>
      </w:r>
      <w:r>
        <w:rPr>
          <w:rFonts w:ascii="Times New Roman" w:hAnsi="Times New Roman" w:cs="Arial"/>
          <w:sz w:val="24"/>
          <w:szCs w:val="24"/>
          <w:lang w:val="sr-Cyrl-CS"/>
        </w:rPr>
        <w:t>току 2009. године</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 xml:space="preserve">управа предузећа одлучује да изабере метод ревалоризације као метод вредновања својих некретнина. Процијењена фер вриједност производне хале на дан 31. децембра 2009. године износи 500.000 КМ. Процијењена фер вриједност хале на дан 31. децембра 2010. године износи 450.000 КМ. Усљед отежаних услова привређивања и немогућности да оствари профитабилну производњу, управа предузећа одлучује да на самом почетку 2011. године обустави производњу, да изврши распродају залиха учинака, те да прода и халу. Процијењена нето продајна вриједност хале износи 440.000 КМ. На јавни позив за прикупљање понуда за куповину производне хале, до краја марта пријавила су се три купца. Управа предузећа је сваку од њихових понуда оцијенила прихватљивом и ушла у процес одлучивања о коначном избору купца. Постигнута је коначна продајна цијена хале у износу од 450.000 КМ. Продаја је извршена у јуну 2011. године. </w:t>
      </w:r>
    </w:p>
    <w:p w:rsidR="00DC0C18" w:rsidRDefault="00DC0C18" w:rsidP="00DC0C18">
      <w:pPr>
        <w:pStyle w:val="NoSpacing"/>
        <w:spacing w:before="120"/>
        <w:jc w:val="both"/>
        <w:rPr>
          <w:rFonts w:ascii="Times New Roman" w:hAnsi="Times New Roman" w:cs="Arial"/>
          <w:sz w:val="24"/>
          <w:szCs w:val="24"/>
          <w:lang w:val="sr-Cyrl-CS"/>
        </w:rPr>
      </w:pPr>
      <w:r w:rsidRPr="00487592">
        <w:rPr>
          <w:rFonts w:ascii="Times New Roman" w:hAnsi="Times New Roman" w:cs="Arial"/>
          <w:sz w:val="24"/>
          <w:szCs w:val="24"/>
          <w:lang w:val="sr-Cyrl-CS"/>
        </w:rPr>
        <w:t>а)</w:t>
      </w:r>
      <w:r>
        <w:rPr>
          <w:rFonts w:ascii="Times New Roman" w:hAnsi="Times New Roman" w:cs="Arial"/>
          <w:sz w:val="24"/>
          <w:szCs w:val="24"/>
          <w:lang w:val="sr-Cyrl-CS"/>
        </w:rPr>
        <w:t xml:space="preserve"> колико износи билансна вриједност производне хале на крају 2008. године,</w:t>
      </w:r>
      <w:r w:rsidRPr="00487592">
        <w:rPr>
          <w:rFonts w:ascii="Times New Roman" w:hAnsi="Times New Roman" w:cs="Arial"/>
          <w:sz w:val="24"/>
          <w:szCs w:val="24"/>
          <w:lang w:val="sr-Cyrl-CS"/>
        </w:rPr>
        <w:t xml:space="preserve"> у складу са којим </w:t>
      </w:r>
      <w:r>
        <w:rPr>
          <w:rFonts w:ascii="Times New Roman" w:hAnsi="Times New Roman" w:cs="Arial"/>
          <w:sz w:val="24"/>
          <w:szCs w:val="24"/>
          <w:lang w:val="sr-Cyrl-CS"/>
        </w:rPr>
        <w:t>МРС и којом основицом за вредновање из Оквира би требало извршити њено вредновање за потребе презентације у билансу стања</w:t>
      </w:r>
      <w:r w:rsidRPr="00487592">
        <w:rPr>
          <w:rFonts w:ascii="Times New Roman" w:hAnsi="Times New Roman" w:cs="Arial"/>
          <w:sz w:val="24"/>
          <w:szCs w:val="24"/>
          <w:lang w:val="sr-Cyrl-CS"/>
        </w:rPr>
        <w:t>?</w:t>
      </w:r>
    </w:p>
    <w:p w:rsidR="00DC0C18" w:rsidRPr="00221470" w:rsidRDefault="00DC0C18" w:rsidP="00DC0C18">
      <w:pPr>
        <w:pStyle w:val="NoSpacing"/>
        <w:jc w:val="right"/>
        <w:rPr>
          <w:rFonts w:ascii="Times New Roman" w:hAnsi="Times New Roman" w:cs="Arial"/>
          <w:b/>
          <w:sz w:val="24"/>
          <w:szCs w:val="24"/>
          <w:lang w:val="sr-Cyrl-CS"/>
        </w:rPr>
      </w:pPr>
      <w:r w:rsidRPr="00221470">
        <w:rPr>
          <w:rFonts w:ascii="Times New Roman" w:hAnsi="Times New Roman" w:cs="Arial"/>
          <w:b/>
          <w:sz w:val="24"/>
          <w:szCs w:val="24"/>
          <w:lang w:val="sr-Cyrl-CS"/>
        </w:rPr>
        <w:t>(</w:t>
      </w:r>
      <w:r>
        <w:rPr>
          <w:rFonts w:ascii="Times New Roman" w:hAnsi="Times New Roman" w:cs="Arial"/>
          <w:b/>
          <w:sz w:val="24"/>
          <w:szCs w:val="24"/>
          <w:lang w:val="sr-Cyrl-CS"/>
        </w:rPr>
        <w:t>5</w:t>
      </w:r>
      <w:r w:rsidRPr="00221470">
        <w:rPr>
          <w:rFonts w:ascii="Times New Roman" w:hAnsi="Times New Roman" w:cs="Arial"/>
          <w:b/>
          <w:sz w:val="24"/>
          <w:szCs w:val="24"/>
          <w:lang w:val="sr-Cyrl-CS"/>
        </w:rPr>
        <w:t xml:space="preserve"> бодова)</w:t>
      </w:r>
    </w:p>
    <w:p w:rsidR="00DC0C18" w:rsidRDefault="00DC0C18" w:rsidP="00DC0C18">
      <w:pPr>
        <w:pStyle w:val="NoSpacing"/>
        <w:jc w:val="both"/>
        <w:rPr>
          <w:rFonts w:ascii="Times New Roman" w:hAnsi="Times New Roman" w:cs="Arial"/>
          <w:sz w:val="24"/>
          <w:szCs w:val="24"/>
          <w:lang w:val="sr-Cyrl-CS"/>
        </w:rPr>
      </w:pPr>
      <w:r w:rsidRPr="00487592">
        <w:rPr>
          <w:rFonts w:ascii="Times New Roman" w:hAnsi="Times New Roman" w:cs="Arial"/>
          <w:sz w:val="24"/>
          <w:szCs w:val="24"/>
          <w:lang w:val="sr-Cyrl-CS"/>
        </w:rPr>
        <w:t xml:space="preserve">б) </w:t>
      </w:r>
      <w:r>
        <w:rPr>
          <w:rFonts w:ascii="Times New Roman" w:hAnsi="Times New Roman" w:cs="Arial"/>
          <w:sz w:val="24"/>
          <w:szCs w:val="24"/>
          <w:lang w:val="sr-Cyrl-CS"/>
        </w:rPr>
        <w:t>колико износи билансна вриједност производне хале на крају 2009. године,</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а колико на крају 2010. године? Како се њено билансирање одражава на изворе у пасиви биланса стања? У</w:t>
      </w:r>
      <w:r w:rsidRPr="00487592">
        <w:rPr>
          <w:rFonts w:ascii="Times New Roman" w:hAnsi="Times New Roman" w:cs="Arial"/>
          <w:sz w:val="24"/>
          <w:szCs w:val="24"/>
          <w:lang w:val="sr-Cyrl-CS"/>
        </w:rPr>
        <w:t xml:space="preserve"> складу са којим </w:t>
      </w:r>
      <w:r>
        <w:rPr>
          <w:rFonts w:ascii="Times New Roman" w:hAnsi="Times New Roman" w:cs="Arial"/>
          <w:sz w:val="24"/>
          <w:szCs w:val="24"/>
          <w:lang w:val="sr-Cyrl-CS"/>
        </w:rPr>
        <w:t>МРС и којом основицом за вредновање из Оквира би требало извршити њено вредновање за потребе презентације у билансима стања на дан 31.12.2009., односно 31.12.2010.године</w:t>
      </w:r>
      <w:r w:rsidRPr="00487592">
        <w:rPr>
          <w:rFonts w:ascii="Times New Roman" w:hAnsi="Times New Roman" w:cs="Arial"/>
          <w:sz w:val="24"/>
          <w:szCs w:val="24"/>
          <w:lang w:val="sr-Cyrl-CS"/>
        </w:rPr>
        <w:t>?</w:t>
      </w:r>
    </w:p>
    <w:p w:rsidR="00DC0C18" w:rsidRPr="002A500E" w:rsidRDefault="00DC0C18" w:rsidP="00DC0C18">
      <w:pPr>
        <w:pStyle w:val="NoSpacing"/>
        <w:jc w:val="right"/>
        <w:rPr>
          <w:rFonts w:ascii="Times New Roman" w:hAnsi="Times New Roman" w:cs="Arial"/>
          <w:b/>
          <w:sz w:val="24"/>
          <w:szCs w:val="24"/>
          <w:lang w:val="sr-Cyrl-CS"/>
        </w:rPr>
      </w:pPr>
      <w:r>
        <w:rPr>
          <w:rFonts w:ascii="Times New Roman" w:hAnsi="Times New Roman" w:cs="Arial"/>
          <w:b/>
          <w:sz w:val="24"/>
          <w:szCs w:val="24"/>
          <w:lang w:val="sr-Cyrl-CS"/>
        </w:rPr>
        <w:t>(15</w:t>
      </w:r>
      <w:r w:rsidRPr="002A500E">
        <w:rPr>
          <w:rFonts w:ascii="Times New Roman" w:hAnsi="Times New Roman" w:cs="Arial"/>
          <w:b/>
          <w:sz w:val="24"/>
          <w:szCs w:val="24"/>
          <w:lang w:val="sr-Cyrl-CS"/>
        </w:rPr>
        <w:t xml:space="preserve"> бодова)</w:t>
      </w:r>
    </w:p>
    <w:p w:rsidR="00DC0C18" w:rsidRDefault="00DC0C18" w:rsidP="00DC0C18">
      <w:pPr>
        <w:pStyle w:val="NoSpacing"/>
        <w:jc w:val="both"/>
        <w:rPr>
          <w:rFonts w:ascii="Times New Roman" w:hAnsi="Times New Roman" w:cs="Arial"/>
          <w:sz w:val="24"/>
          <w:szCs w:val="24"/>
          <w:lang w:val="sr-Cyrl-CS"/>
        </w:rPr>
      </w:pPr>
      <w:r w:rsidRPr="00487592">
        <w:rPr>
          <w:rFonts w:ascii="Times New Roman" w:hAnsi="Times New Roman" w:cs="Arial"/>
          <w:sz w:val="24"/>
          <w:szCs w:val="24"/>
          <w:lang w:val="sr-Cyrl-CS"/>
        </w:rPr>
        <w:t xml:space="preserve">в) како би </w:t>
      </w:r>
      <w:r>
        <w:rPr>
          <w:rFonts w:ascii="Times New Roman" w:hAnsi="Times New Roman" w:cs="Arial"/>
          <w:sz w:val="24"/>
          <w:szCs w:val="24"/>
          <w:lang w:val="sr-Cyrl-CS"/>
        </w:rPr>
        <w:t>рачуноводствено требало вредновати и презентовати информације о</w:t>
      </w:r>
      <w:r w:rsidRPr="00487592">
        <w:rPr>
          <w:rFonts w:ascii="Times New Roman" w:hAnsi="Times New Roman" w:cs="Arial"/>
          <w:sz w:val="24"/>
          <w:szCs w:val="24"/>
          <w:lang w:val="sr-Cyrl-CS"/>
        </w:rPr>
        <w:t xml:space="preserve"> </w:t>
      </w:r>
      <w:r>
        <w:rPr>
          <w:rFonts w:ascii="Times New Roman" w:hAnsi="Times New Roman" w:cs="Arial"/>
          <w:sz w:val="24"/>
          <w:szCs w:val="24"/>
          <w:lang w:val="sr-Cyrl-CS"/>
        </w:rPr>
        <w:t xml:space="preserve">производној хали </w:t>
      </w:r>
      <w:r w:rsidRPr="00487592">
        <w:rPr>
          <w:rFonts w:ascii="Times New Roman" w:hAnsi="Times New Roman" w:cs="Arial"/>
          <w:sz w:val="24"/>
          <w:szCs w:val="24"/>
          <w:lang w:val="sr-Cyrl-CS"/>
        </w:rPr>
        <w:t>у 201</w:t>
      </w:r>
      <w:r>
        <w:rPr>
          <w:rFonts w:ascii="Times New Roman" w:hAnsi="Times New Roman" w:cs="Arial"/>
          <w:sz w:val="24"/>
          <w:szCs w:val="24"/>
          <w:lang w:val="sr-Cyrl-CS"/>
        </w:rPr>
        <w:t>1</w:t>
      </w:r>
      <w:r w:rsidRPr="00487592">
        <w:rPr>
          <w:rFonts w:ascii="Times New Roman" w:hAnsi="Times New Roman" w:cs="Arial"/>
          <w:sz w:val="24"/>
          <w:szCs w:val="24"/>
          <w:lang w:val="sr-Cyrl-CS"/>
        </w:rPr>
        <w:t xml:space="preserve">. години и у складу са којим </w:t>
      </w:r>
      <w:r>
        <w:rPr>
          <w:rFonts w:ascii="Times New Roman" w:hAnsi="Times New Roman" w:cs="Arial"/>
          <w:sz w:val="24"/>
          <w:szCs w:val="24"/>
          <w:lang w:val="sr-Cyrl-CS"/>
        </w:rPr>
        <w:t>стандардом</w:t>
      </w:r>
      <w:r w:rsidRPr="00487592">
        <w:rPr>
          <w:rFonts w:ascii="Times New Roman" w:hAnsi="Times New Roman" w:cs="Arial"/>
          <w:sz w:val="24"/>
          <w:szCs w:val="24"/>
          <w:lang w:val="sr-Cyrl-CS"/>
        </w:rPr>
        <w:t>?</w:t>
      </w:r>
    </w:p>
    <w:p w:rsidR="00DC0C18" w:rsidRPr="002A500E" w:rsidRDefault="00DC0C18" w:rsidP="00DC0C18">
      <w:pPr>
        <w:pStyle w:val="NoSpacing"/>
        <w:jc w:val="right"/>
        <w:rPr>
          <w:rFonts w:ascii="Times New Roman" w:hAnsi="Times New Roman" w:cs="Arial"/>
          <w:b/>
          <w:sz w:val="24"/>
          <w:szCs w:val="24"/>
          <w:lang w:val="sr-Cyrl-CS"/>
        </w:rPr>
      </w:pPr>
      <w:r w:rsidRPr="002A500E">
        <w:rPr>
          <w:rFonts w:ascii="Times New Roman" w:hAnsi="Times New Roman" w:cs="Arial"/>
          <w:b/>
          <w:sz w:val="24"/>
          <w:szCs w:val="24"/>
          <w:lang w:val="sr-Cyrl-CS"/>
        </w:rPr>
        <w:t>(10 бодова)</w:t>
      </w:r>
    </w:p>
    <w:p w:rsidR="00DC0C18" w:rsidRDefault="00DC0C18" w:rsidP="00DC0C18">
      <w:pPr>
        <w:pStyle w:val="NoSpacing"/>
        <w:jc w:val="both"/>
        <w:rPr>
          <w:rFonts w:ascii="Times New Roman" w:hAnsi="Times New Roman" w:cs="Arial"/>
          <w:i/>
          <w:sz w:val="24"/>
          <w:szCs w:val="24"/>
          <w:u w:val="single"/>
          <w:lang w:val="sr-Cyrl-CS"/>
        </w:rPr>
      </w:pPr>
    </w:p>
    <w:p w:rsidR="00DC0C18" w:rsidRPr="008A0A8C" w:rsidRDefault="00DC0C18" w:rsidP="00DC0C18">
      <w:pPr>
        <w:pStyle w:val="NoSpacing"/>
        <w:jc w:val="both"/>
        <w:rPr>
          <w:rFonts w:ascii="Times New Roman" w:hAnsi="Times New Roman" w:cs="Arial"/>
          <w:b/>
          <w:sz w:val="24"/>
          <w:szCs w:val="24"/>
          <w:u w:val="single"/>
          <w:lang w:val="sr-Cyrl-CS"/>
        </w:rPr>
      </w:pPr>
      <w:r w:rsidRPr="008A0A8C">
        <w:rPr>
          <w:rFonts w:ascii="Times New Roman" w:hAnsi="Times New Roman" w:cs="Arial"/>
          <w:b/>
          <w:sz w:val="24"/>
          <w:szCs w:val="24"/>
          <w:u w:val="single"/>
          <w:lang w:val="sr-Cyrl-CS"/>
        </w:rPr>
        <w:t>Рјешењ</w:t>
      </w:r>
      <w:r>
        <w:rPr>
          <w:rFonts w:ascii="Times New Roman" w:hAnsi="Times New Roman" w:cs="Arial"/>
          <w:b/>
          <w:sz w:val="24"/>
          <w:szCs w:val="24"/>
          <w:u w:val="single"/>
          <w:lang w:val="sr-Cyrl-CS"/>
        </w:rPr>
        <w:t>а</w:t>
      </w:r>
      <w:r w:rsidRPr="008A0A8C">
        <w:rPr>
          <w:rFonts w:ascii="Times New Roman" w:hAnsi="Times New Roman" w:cs="Arial"/>
          <w:b/>
          <w:sz w:val="24"/>
          <w:szCs w:val="24"/>
          <w:u w:val="single"/>
          <w:lang w:val="sr-Cyrl-CS"/>
        </w:rPr>
        <w:t xml:space="preserve">: </w:t>
      </w:r>
    </w:p>
    <w:p w:rsidR="00DC0C18"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CS"/>
        </w:rPr>
        <w:t>а) билансна вриједност хале на крају 2008. године = 585.000 – 85.000 (17% ПДВ-а) – 4.500 (амортизација за пола године) = 495.500 КМ.</w:t>
      </w:r>
    </w:p>
    <w:p w:rsidR="00DC0C18"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CS"/>
        </w:rPr>
        <w:t xml:space="preserve">Вредновање производне хале извршено је у складу са МРС 16 – Некретнине, постројења и опрема. Примијењен је концепт историјског трошка према којем се средства вреднују у висини издатака учињених за њихову набавку. У конкретном случају, набавна вриједност хале умањена је за амортизацију, што је у складу са МСР 16 и концептом историјског трошка. </w:t>
      </w:r>
    </w:p>
    <w:p w:rsidR="00DC0C18" w:rsidRDefault="00DC0C18" w:rsidP="00DC0C18">
      <w:pPr>
        <w:pStyle w:val="NoSpacing"/>
        <w:jc w:val="right"/>
        <w:rPr>
          <w:rFonts w:ascii="Times New Roman" w:hAnsi="Times New Roman" w:cs="Arial"/>
          <w:sz w:val="24"/>
          <w:szCs w:val="24"/>
          <w:lang w:val="sr-Cyrl-CS"/>
        </w:rPr>
      </w:pPr>
    </w:p>
    <w:p w:rsidR="00DC0C18"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CS"/>
        </w:rPr>
        <w:t>б) билансна вриједност хале на крају 2009. године износи 500.000 КМ. Истовремено, у пасиви биланса стања билансиране су ревалоризационе резерве у износу од 13.500 (500.000 – 495.500 – 9.000). На крају 2010. године билансна вриједност производне хале износи 450.000. Ревалоризационе резерве од 13.500 су у потпуности поништене а негативна разлика до процијењене фер вриједнсоти у износу од 27.500 (486.500 – 9.000 – 450.000) треба да терети расходе периода, чиме се директно умањује финансијски резултат као компонента властитих извора.</w:t>
      </w:r>
      <w:r w:rsidRPr="00CA233E">
        <w:rPr>
          <w:rFonts w:ascii="Times New Roman" w:hAnsi="Times New Roman" w:cs="Arial"/>
          <w:sz w:val="24"/>
          <w:szCs w:val="24"/>
          <w:lang w:val="sr-Cyrl-CS"/>
        </w:rPr>
        <w:t xml:space="preserve"> </w:t>
      </w:r>
      <w:r>
        <w:rPr>
          <w:rFonts w:ascii="Times New Roman" w:hAnsi="Times New Roman" w:cs="Arial"/>
          <w:sz w:val="24"/>
          <w:szCs w:val="24"/>
          <w:lang w:val="sr-Cyrl-CS"/>
        </w:rPr>
        <w:t xml:space="preserve">Вредновање производне хале и у овом случају извршено је у складу са МРС 16 – Некретнине, постројења и опрема, али је </w:t>
      </w:r>
      <w:r>
        <w:rPr>
          <w:rFonts w:ascii="Times New Roman" w:hAnsi="Times New Roman" w:cs="Arial"/>
          <w:sz w:val="24"/>
          <w:szCs w:val="24"/>
          <w:lang w:val="sr-Cyrl-CS"/>
        </w:rPr>
        <w:lastRenderedPageBreak/>
        <w:t>умјесто концепта историјског трошка примијењен модел ревалоризационе, фер вриједности.</w:t>
      </w:r>
    </w:p>
    <w:p w:rsidR="00DC0C18" w:rsidRDefault="00DC0C18" w:rsidP="00DC0C18">
      <w:pPr>
        <w:pStyle w:val="NoSpacing"/>
        <w:jc w:val="both"/>
        <w:rPr>
          <w:rFonts w:ascii="Times New Roman" w:hAnsi="Times New Roman" w:cs="Arial"/>
          <w:sz w:val="24"/>
          <w:szCs w:val="24"/>
          <w:lang w:val="sr-Cyrl-CS"/>
        </w:rPr>
      </w:pPr>
    </w:p>
    <w:p w:rsidR="00DC0C18" w:rsidRDefault="00DC0C18" w:rsidP="00DC0C18">
      <w:pPr>
        <w:pStyle w:val="NoSpacing"/>
        <w:jc w:val="both"/>
        <w:rPr>
          <w:rFonts w:ascii="Times New Roman" w:hAnsi="Times New Roman" w:cs="Arial"/>
          <w:sz w:val="24"/>
          <w:szCs w:val="24"/>
          <w:lang w:val="sr-Cyrl-CS"/>
        </w:rPr>
      </w:pPr>
      <w:r>
        <w:rPr>
          <w:rFonts w:ascii="Times New Roman" w:hAnsi="Times New Roman" w:cs="Arial"/>
          <w:sz w:val="24"/>
          <w:szCs w:val="24"/>
          <w:lang w:val="sr-Cyrl-CS"/>
        </w:rPr>
        <w:t>в) у 2011. години би, у складу са МСФИ 5, одмах на почетку године требало извршити рекласификацију производне хале из категорије некретнина у категорију сталних средстава намијењених продаји и отуђењу и обуставити обрачун амортизације. Одмах на датум рекласификације треба признати импаритетне губитке (позиција расхода у билансу успјеха) у висини од 10.000 (450.000 – 440.000). Разлику од тако вредноване имовине до коначне продајне цијене од 450.000 КМ (разлика од 10.000 КМ) треба третирати као добитак од продаје сталних средстава намијењених продаји и отуђењу.</w:t>
      </w:r>
    </w:p>
    <w:p w:rsidR="00DC0C18" w:rsidRPr="00E77097" w:rsidRDefault="009E7991" w:rsidP="00DC0C18">
      <w:pPr>
        <w:jc w:val="both"/>
        <w:rPr>
          <w:lang w:val="sr-Cyrl-CS"/>
        </w:rPr>
      </w:pPr>
      <w:r>
        <w:rPr>
          <w:lang w:val="sr-Cyrl-CS"/>
        </w:rPr>
        <w:br w:type="page"/>
      </w:r>
    </w:p>
    <w:sectPr w:rsidR="00DC0C18" w:rsidRPr="00E77097" w:rsidSect="00A670CA">
      <w:footerReference w:type="even"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94F" w:rsidRDefault="0019094F">
      <w:r>
        <w:separator/>
      </w:r>
    </w:p>
  </w:endnote>
  <w:endnote w:type="continuationSeparator" w:id="0">
    <w:p w:rsidR="0019094F" w:rsidRDefault="001909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97" w:rsidRDefault="00EF53C5" w:rsidP="005F48CE">
    <w:pPr>
      <w:pStyle w:val="Footer"/>
      <w:framePr w:wrap="around" w:vAnchor="text" w:hAnchor="margin" w:xAlign="right" w:y="1"/>
      <w:rPr>
        <w:rStyle w:val="PageNumber"/>
      </w:rPr>
    </w:pPr>
    <w:r>
      <w:rPr>
        <w:rStyle w:val="PageNumber"/>
      </w:rPr>
      <w:fldChar w:fldCharType="begin"/>
    </w:r>
    <w:r w:rsidR="009C1897">
      <w:rPr>
        <w:rStyle w:val="PageNumber"/>
      </w:rPr>
      <w:instrText xml:space="preserve">PAGE  </w:instrText>
    </w:r>
    <w:r>
      <w:rPr>
        <w:rStyle w:val="PageNumber"/>
      </w:rPr>
      <w:fldChar w:fldCharType="end"/>
    </w:r>
  </w:p>
  <w:p w:rsidR="009C1897" w:rsidRDefault="009C1897" w:rsidP="002A02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97" w:rsidRDefault="00EF53C5" w:rsidP="005F48CE">
    <w:pPr>
      <w:pStyle w:val="Footer"/>
      <w:framePr w:wrap="around" w:vAnchor="text" w:hAnchor="margin" w:xAlign="right" w:y="1"/>
      <w:rPr>
        <w:rStyle w:val="PageNumber"/>
      </w:rPr>
    </w:pPr>
    <w:r>
      <w:rPr>
        <w:rStyle w:val="PageNumber"/>
      </w:rPr>
      <w:fldChar w:fldCharType="begin"/>
    </w:r>
    <w:r w:rsidR="009C1897">
      <w:rPr>
        <w:rStyle w:val="PageNumber"/>
      </w:rPr>
      <w:instrText xml:space="preserve">PAGE  </w:instrText>
    </w:r>
    <w:r>
      <w:rPr>
        <w:rStyle w:val="PageNumber"/>
      </w:rPr>
      <w:fldChar w:fldCharType="separate"/>
    </w:r>
    <w:r w:rsidR="00BC31D7">
      <w:rPr>
        <w:rStyle w:val="PageNumber"/>
        <w:noProof/>
      </w:rPr>
      <w:t>4</w:t>
    </w:r>
    <w:r>
      <w:rPr>
        <w:rStyle w:val="PageNumber"/>
      </w:rPr>
      <w:fldChar w:fldCharType="end"/>
    </w:r>
  </w:p>
  <w:p w:rsidR="009C1897" w:rsidRDefault="009C1897" w:rsidP="002A02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94F" w:rsidRDefault="0019094F">
      <w:r>
        <w:separator/>
      </w:r>
    </w:p>
  </w:footnote>
  <w:footnote w:type="continuationSeparator" w:id="0">
    <w:p w:rsidR="0019094F" w:rsidRDefault="001909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1CDD"/>
    <w:multiLevelType w:val="hybridMultilevel"/>
    <w:tmpl w:val="E9C4B5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3043DC"/>
    <w:multiLevelType w:val="hybridMultilevel"/>
    <w:tmpl w:val="23E0AD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31910"/>
    <w:multiLevelType w:val="hybridMultilevel"/>
    <w:tmpl w:val="7DD004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5E697E"/>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nsid w:val="06884720"/>
    <w:multiLevelType w:val="hybridMultilevel"/>
    <w:tmpl w:val="29EC8D0C"/>
    <w:lvl w:ilvl="0" w:tplc="22B27FCA">
      <w:start w:val="1"/>
      <w:numFmt w:val="decimal"/>
      <w:lvlText w:val="%1."/>
      <w:lvlJc w:val="left"/>
      <w:pPr>
        <w:tabs>
          <w:tab w:val="num" w:pos="720"/>
        </w:tabs>
        <w:ind w:left="720" w:hanging="360"/>
      </w:pPr>
      <w:rPr>
        <w:rFonts w:hint="default"/>
      </w:rPr>
    </w:lvl>
    <w:lvl w:ilvl="1" w:tplc="8AA68976">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11454273"/>
    <w:multiLevelType w:val="hybridMultilevel"/>
    <w:tmpl w:val="DE284D8E"/>
    <w:lvl w:ilvl="0" w:tplc="C0C6195A">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42F0A6F"/>
    <w:multiLevelType w:val="hybridMultilevel"/>
    <w:tmpl w:val="D26023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7430A"/>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B369AE"/>
    <w:multiLevelType w:val="hybridMultilevel"/>
    <w:tmpl w:val="22A68AD8"/>
    <w:lvl w:ilvl="0" w:tplc="7138E6C4">
      <w:start w:val="1"/>
      <w:numFmt w:val="decimal"/>
      <w:lvlText w:val="%1."/>
      <w:lvlJc w:val="left"/>
      <w:pPr>
        <w:ind w:left="360" w:hanging="360"/>
      </w:pPr>
      <w:rPr>
        <w:rFonts w:hint="default"/>
        <w:color w:val="auto"/>
      </w:rPr>
    </w:lvl>
    <w:lvl w:ilvl="1" w:tplc="2AEA9AAA">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7D0388C"/>
    <w:multiLevelType w:val="hybridMultilevel"/>
    <w:tmpl w:val="22A68AD8"/>
    <w:lvl w:ilvl="0" w:tplc="7138E6C4">
      <w:start w:val="1"/>
      <w:numFmt w:val="decimal"/>
      <w:lvlText w:val="%1."/>
      <w:lvlJc w:val="left"/>
      <w:pPr>
        <w:ind w:left="360" w:hanging="360"/>
      </w:pPr>
      <w:rPr>
        <w:rFonts w:hint="default"/>
        <w:color w:val="auto"/>
      </w:rPr>
    </w:lvl>
    <w:lvl w:ilvl="1" w:tplc="2AEA9AAA">
      <w:start w:val="1"/>
      <w:numFmt w:val="lowerLetter"/>
      <w:lvlText w:val="%2)"/>
      <w:lvlJc w:val="left"/>
      <w:pPr>
        <w:tabs>
          <w:tab w:val="num" w:pos="2700"/>
        </w:tabs>
        <w:ind w:left="270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8FB7994"/>
    <w:multiLevelType w:val="hybridMultilevel"/>
    <w:tmpl w:val="F0D023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122CA8"/>
    <w:multiLevelType w:val="hybridMultilevel"/>
    <w:tmpl w:val="A7D406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460C75"/>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nsid w:val="1C2B49F1"/>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794FEA"/>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F356A8"/>
    <w:multiLevelType w:val="hybridMultilevel"/>
    <w:tmpl w:val="5A98CDD2"/>
    <w:lvl w:ilvl="0" w:tplc="B16CEEB6">
      <w:start w:val="1"/>
      <w:numFmt w:val="lowerLetter"/>
      <w:lvlText w:val="%1)"/>
      <w:lvlJc w:val="left"/>
      <w:pPr>
        <w:ind w:left="5860" w:hanging="360"/>
      </w:pPr>
      <w:rPr>
        <w:rFonts w:hint="default"/>
      </w:rPr>
    </w:lvl>
    <w:lvl w:ilvl="1" w:tplc="041A0019" w:tentative="1">
      <w:start w:val="1"/>
      <w:numFmt w:val="lowerLetter"/>
      <w:lvlText w:val="%2."/>
      <w:lvlJc w:val="left"/>
      <w:pPr>
        <w:ind w:left="5860" w:hanging="360"/>
      </w:pPr>
    </w:lvl>
    <w:lvl w:ilvl="2" w:tplc="041A001B" w:tentative="1">
      <w:start w:val="1"/>
      <w:numFmt w:val="lowerRoman"/>
      <w:lvlText w:val="%3."/>
      <w:lvlJc w:val="right"/>
      <w:pPr>
        <w:ind w:left="6580" w:hanging="180"/>
      </w:pPr>
    </w:lvl>
    <w:lvl w:ilvl="3" w:tplc="041A000F" w:tentative="1">
      <w:start w:val="1"/>
      <w:numFmt w:val="decimal"/>
      <w:lvlText w:val="%4."/>
      <w:lvlJc w:val="left"/>
      <w:pPr>
        <w:ind w:left="7300" w:hanging="360"/>
      </w:pPr>
    </w:lvl>
    <w:lvl w:ilvl="4" w:tplc="041A0019" w:tentative="1">
      <w:start w:val="1"/>
      <w:numFmt w:val="lowerLetter"/>
      <w:lvlText w:val="%5."/>
      <w:lvlJc w:val="left"/>
      <w:pPr>
        <w:ind w:left="8020" w:hanging="360"/>
      </w:pPr>
    </w:lvl>
    <w:lvl w:ilvl="5" w:tplc="041A001B" w:tentative="1">
      <w:start w:val="1"/>
      <w:numFmt w:val="lowerRoman"/>
      <w:lvlText w:val="%6."/>
      <w:lvlJc w:val="right"/>
      <w:pPr>
        <w:ind w:left="8740" w:hanging="180"/>
      </w:pPr>
    </w:lvl>
    <w:lvl w:ilvl="6" w:tplc="041A000F" w:tentative="1">
      <w:start w:val="1"/>
      <w:numFmt w:val="decimal"/>
      <w:lvlText w:val="%7."/>
      <w:lvlJc w:val="left"/>
      <w:pPr>
        <w:ind w:left="9460" w:hanging="360"/>
      </w:pPr>
    </w:lvl>
    <w:lvl w:ilvl="7" w:tplc="041A0019" w:tentative="1">
      <w:start w:val="1"/>
      <w:numFmt w:val="lowerLetter"/>
      <w:lvlText w:val="%8."/>
      <w:lvlJc w:val="left"/>
      <w:pPr>
        <w:ind w:left="10180" w:hanging="360"/>
      </w:pPr>
    </w:lvl>
    <w:lvl w:ilvl="8" w:tplc="041A001B" w:tentative="1">
      <w:start w:val="1"/>
      <w:numFmt w:val="lowerRoman"/>
      <w:lvlText w:val="%9."/>
      <w:lvlJc w:val="right"/>
      <w:pPr>
        <w:ind w:left="10900" w:hanging="180"/>
      </w:pPr>
    </w:lvl>
  </w:abstractNum>
  <w:abstractNum w:abstractNumId="16">
    <w:nsid w:val="26AB2FFE"/>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nsid w:val="27B34B4D"/>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nsid w:val="2BE1028F"/>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nsid w:val="30B72245"/>
    <w:multiLevelType w:val="hybridMultilevel"/>
    <w:tmpl w:val="287EC2E8"/>
    <w:lvl w:ilvl="0" w:tplc="0409000F">
      <w:start w:val="1"/>
      <w:numFmt w:val="decimal"/>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34E4482C"/>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nsid w:val="36174C0B"/>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A9606E"/>
    <w:multiLevelType w:val="hybridMultilevel"/>
    <w:tmpl w:val="9E2453B2"/>
    <w:lvl w:ilvl="0" w:tplc="E9A86860">
      <w:start w:val="1"/>
      <w:numFmt w:val="lowerLetter"/>
      <w:lvlText w:val="%1)"/>
      <w:lvlJc w:val="left"/>
      <w:pPr>
        <w:ind w:left="900" w:hanging="360"/>
      </w:pPr>
      <w:rPr>
        <w:rFonts w:hint="default"/>
      </w:rPr>
    </w:lvl>
    <w:lvl w:ilvl="1" w:tplc="041A0019" w:tentative="1">
      <w:start w:val="1"/>
      <w:numFmt w:val="lowerLetter"/>
      <w:lvlText w:val="%2."/>
      <w:lvlJc w:val="left"/>
      <w:pPr>
        <w:ind w:left="1620" w:hanging="360"/>
      </w:pPr>
    </w:lvl>
    <w:lvl w:ilvl="2" w:tplc="041A001B" w:tentative="1">
      <w:start w:val="1"/>
      <w:numFmt w:val="lowerRoman"/>
      <w:lvlText w:val="%3."/>
      <w:lvlJc w:val="right"/>
      <w:pPr>
        <w:ind w:left="2340" w:hanging="180"/>
      </w:pPr>
    </w:lvl>
    <w:lvl w:ilvl="3" w:tplc="041A000F" w:tentative="1">
      <w:start w:val="1"/>
      <w:numFmt w:val="decimal"/>
      <w:lvlText w:val="%4."/>
      <w:lvlJc w:val="left"/>
      <w:pPr>
        <w:ind w:left="3060" w:hanging="360"/>
      </w:pPr>
    </w:lvl>
    <w:lvl w:ilvl="4" w:tplc="041A0019" w:tentative="1">
      <w:start w:val="1"/>
      <w:numFmt w:val="lowerLetter"/>
      <w:lvlText w:val="%5."/>
      <w:lvlJc w:val="left"/>
      <w:pPr>
        <w:ind w:left="3780" w:hanging="360"/>
      </w:pPr>
    </w:lvl>
    <w:lvl w:ilvl="5" w:tplc="041A001B" w:tentative="1">
      <w:start w:val="1"/>
      <w:numFmt w:val="lowerRoman"/>
      <w:lvlText w:val="%6."/>
      <w:lvlJc w:val="right"/>
      <w:pPr>
        <w:ind w:left="4500" w:hanging="180"/>
      </w:pPr>
    </w:lvl>
    <w:lvl w:ilvl="6" w:tplc="041A000F" w:tentative="1">
      <w:start w:val="1"/>
      <w:numFmt w:val="decimal"/>
      <w:lvlText w:val="%7."/>
      <w:lvlJc w:val="left"/>
      <w:pPr>
        <w:ind w:left="5220" w:hanging="360"/>
      </w:pPr>
    </w:lvl>
    <w:lvl w:ilvl="7" w:tplc="041A0019" w:tentative="1">
      <w:start w:val="1"/>
      <w:numFmt w:val="lowerLetter"/>
      <w:lvlText w:val="%8."/>
      <w:lvlJc w:val="left"/>
      <w:pPr>
        <w:ind w:left="5940" w:hanging="360"/>
      </w:pPr>
    </w:lvl>
    <w:lvl w:ilvl="8" w:tplc="041A001B" w:tentative="1">
      <w:start w:val="1"/>
      <w:numFmt w:val="lowerRoman"/>
      <w:lvlText w:val="%9."/>
      <w:lvlJc w:val="right"/>
      <w:pPr>
        <w:ind w:left="6660" w:hanging="180"/>
      </w:pPr>
    </w:lvl>
  </w:abstractNum>
  <w:abstractNum w:abstractNumId="23">
    <w:nsid w:val="3EB577B6"/>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nsid w:val="40A40799"/>
    <w:multiLevelType w:val="hybridMultilevel"/>
    <w:tmpl w:val="F9C47F08"/>
    <w:lvl w:ilvl="0" w:tplc="0B9A85F8">
      <w:start w:val="1"/>
      <w:numFmt w:val="decimal"/>
      <w:lvlText w:val="%1."/>
      <w:lvlJc w:val="left"/>
      <w:pPr>
        <w:tabs>
          <w:tab w:val="num" w:pos="644"/>
        </w:tabs>
        <w:ind w:left="644" w:hanging="360"/>
      </w:pPr>
      <w:rPr>
        <w:rFonts w:hint="default"/>
      </w:rPr>
    </w:lvl>
    <w:lvl w:ilvl="1" w:tplc="C1DA6794">
      <w:start w:val="1"/>
      <w:numFmt w:val="upperLetter"/>
      <w:lvlText w:val="%2)"/>
      <w:lvlJc w:val="left"/>
      <w:pPr>
        <w:tabs>
          <w:tab w:val="num" w:pos="1364"/>
        </w:tabs>
        <w:ind w:left="1364" w:hanging="360"/>
      </w:pPr>
      <w:rPr>
        <w:rFonts w:hint="default"/>
      </w:rPr>
    </w:lvl>
    <w:lvl w:ilvl="2" w:tplc="B784E574">
      <w:start w:val="1"/>
      <w:numFmt w:val="lowerLetter"/>
      <w:lvlText w:val="%3)"/>
      <w:lvlJc w:val="left"/>
      <w:pPr>
        <w:tabs>
          <w:tab w:val="num" w:pos="2264"/>
        </w:tabs>
        <w:ind w:left="2264" w:hanging="360"/>
      </w:pPr>
      <w:rPr>
        <w:rFonts w:hint="default"/>
      </w:rPr>
    </w:lvl>
    <w:lvl w:ilvl="3" w:tplc="041A000F" w:tentative="1">
      <w:start w:val="1"/>
      <w:numFmt w:val="decimal"/>
      <w:lvlText w:val="%4."/>
      <w:lvlJc w:val="left"/>
      <w:pPr>
        <w:tabs>
          <w:tab w:val="num" w:pos="2804"/>
        </w:tabs>
        <w:ind w:left="2804" w:hanging="360"/>
      </w:pPr>
    </w:lvl>
    <w:lvl w:ilvl="4" w:tplc="041A0019" w:tentative="1">
      <w:start w:val="1"/>
      <w:numFmt w:val="lowerLetter"/>
      <w:lvlText w:val="%5."/>
      <w:lvlJc w:val="left"/>
      <w:pPr>
        <w:tabs>
          <w:tab w:val="num" w:pos="3524"/>
        </w:tabs>
        <w:ind w:left="3524" w:hanging="360"/>
      </w:pPr>
    </w:lvl>
    <w:lvl w:ilvl="5" w:tplc="041A001B" w:tentative="1">
      <w:start w:val="1"/>
      <w:numFmt w:val="lowerRoman"/>
      <w:lvlText w:val="%6."/>
      <w:lvlJc w:val="right"/>
      <w:pPr>
        <w:tabs>
          <w:tab w:val="num" w:pos="4244"/>
        </w:tabs>
        <w:ind w:left="4244" w:hanging="180"/>
      </w:pPr>
    </w:lvl>
    <w:lvl w:ilvl="6" w:tplc="041A000F" w:tentative="1">
      <w:start w:val="1"/>
      <w:numFmt w:val="decimal"/>
      <w:lvlText w:val="%7."/>
      <w:lvlJc w:val="left"/>
      <w:pPr>
        <w:tabs>
          <w:tab w:val="num" w:pos="4964"/>
        </w:tabs>
        <w:ind w:left="4964" w:hanging="360"/>
      </w:pPr>
    </w:lvl>
    <w:lvl w:ilvl="7" w:tplc="041A0019" w:tentative="1">
      <w:start w:val="1"/>
      <w:numFmt w:val="lowerLetter"/>
      <w:lvlText w:val="%8."/>
      <w:lvlJc w:val="left"/>
      <w:pPr>
        <w:tabs>
          <w:tab w:val="num" w:pos="5684"/>
        </w:tabs>
        <w:ind w:left="5684" w:hanging="360"/>
      </w:pPr>
    </w:lvl>
    <w:lvl w:ilvl="8" w:tplc="041A001B" w:tentative="1">
      <w:start w:val="1"/>
      <w:numFmt w:val="lowerRoman"/>
      <w:lvlText w:val="%9."/>
      <w:lvlJc w:val="right"/>
      <w:pPr>
        <w:tabs>
          <w:tab w:val="num" w:pos="6404"/>
        </w:tabs>
        <w:ind w:left="6404" w:hanging="180"/>
      </w:pPr>
    </w:lvl>
  </w:abstractNum>
  <w:abstractNum w:abstractNumId="25">
    <w:nsid w:val="4395617C"/>
    <w:multiLevelType w:val="hybridMultilevel"/>
    <w:tmpl w:val="698CA6F8"/>
    <w:lvl w:ilvl="0" w:tplc="E28CB1BC">
      <w:start w:val="1"/>
      <w:numFmt w:val="decimal"/>
      <w:lvlText w:val="(%1)"/>
      <w:lvlJc w:val="left"/>
      <w:pPr>
        <w:ind w:left="720" w:hanging="360"/>
      </w:pPr>
      <w:rPr>
        <w:rFonts w:hint="default"/>
        <w:b/>
        <w:color w:val="00006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467E21D0"/>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nsid w:val="477D5A2B"/>
    <w:multiLevelType w:val="hybridMultilevel"/>
    <w:tmpl w:val="D22449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BC4748"/>
    <w:multiLevelType w:val="hybridMultilevel"/>
    <w:tmpl w:val="9710C5F2"/>
    <w:lvl w:ilvl="0" w:tplc="42D43102">
      <w:start w:val="8"/>
      <w:numFmt w:val="bullet"/>
      <w:lvlText w:val="-"/>
      <w:lvlJc w:val="left"/>
      <w:pPr>
        <w:ind w:left="720" w:hanging="360"/>
      </w:pPr>
      <w:rPr>
        <w:rFonts w:ascii="Times New Roman" w:eastAsia="Batang"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BD57669"/>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0">
    <w:nsid w:val="4F8C70DE"/>
    <w:multiLevelType w:val="hybridMultilevel"/>
    <w:tmpl w:val="9730BC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792597"/>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nsid w:val="57F22913"/>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3">
    <w:nsid w:val="59597083"/>
    <w:multiLevelType w:val="hybridMultilevel"/>
    <w:tmpl w:val="263657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2449A3"/>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nsid w:val="5BBD3B4B"/>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203E2F"/>
    <w:multiLevelType w:val="hybridMultilevel"/>
    <w:tmpl w:val="82D219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491B24"/>
    <w:multiLevelType w:val="hybridMultilevel"/>
    <w:tmpl w:val="FFDE7B44"/>
    <w:lvl w:ilvl="0" w:tplc="A8D46B2C">
      <w:start w:val="1"/>
      <w:numFmt w:val="lowerLetter"/>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38">
    <w:nsid w:val="63575679"/>
    <w:multiLevelType w:val="hybridMultilevel"/>
    <w:tmpl w:val="2A9C11CA"/>
    <w:lvl w:ilvl="0" w:tplc="2AEA9AAA">
      <w:start w:val="1"/>
      <w:numFmt w:val="lowerLetter"/>
      <w:lvlText w:val="%1)"/>
      <w:lvlJc w:val="left"/>
      <w:pPr>
        <w:tabs>
          <w:tab w:val="num" w:pos="2700"/>
        </w:tabs>
        <w:ind w:left="270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636B45A5"/>
    <w:multiLevelType w:val="hybridMultilevel"/>
    <w:tmpl w:val="9834B182"/>
    <w:lvl w:ilvl="0" w:tplc="FAD8F612">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0">
    <w:nsid w:val="661C0936"/>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nsid w:val="6D3C69C9"/>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2">
    <w:nsid w:val="6D802390"/>
    <w:multiLevelType w:val="hybridMultilevel"/>
    <w:tmpl w:val="296EA3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B23FC7"/>
    <w:multiLevelType w:val="hybridMultilevel"/>
    <w:tmpl w:val="0816A6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B12686"/>
    <w:multiLevelType w:val="hybridMultilevel"/>
    <w:tmpl w:val="1922AD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B82419"/>
    <w:multiLevelType w:val="hybridMultilevel"/>
    <w:tmpl w:val="D84A4F0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nsid w:val="7BBF1AE7"/>
    <w:multiLevelType w:val="hybridMultilevel"/>
    <w:tmpl w:val="9620B0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C76290"/>
    <w:multiLevelType w:val="hybridMultilevel"/>
    <w:tmpl w:val="13B8E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3B7A3B"/>
    <w:multiLevelType w:val="hybridMultilevel"/>
    <w:tmpl w:val="BB564238"/>
    <w:lvl w:ilvl="0" w:tplc="AB3233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19"/>
  </w:num>
  <w:num w:numId="2">
    <w:abstractNumId w:val="22"/>
  </w:num>
  <w:num w:numId="3">
    <w:abstractNumId w:val="40"/>
  </w:num>
  <w:num w:numId="4">
    <w:abstractNumId w:val="32"/>
  </w:num>
  <w:num w:numId="5">
    <w:abstractNumId w:val="26"/>
  </w:num>
  <w:num w:numId="6">
    <w:abstractNumId w:val="12"/>
  </w:num>
  <w:num w:numId="7">
    <w:abstractNumId w:val="18"/>
  </w:num>
  <w:num w:numId="8">
    <w:abstractNumId w:val="48"/>
  </w:num>
  <w:num w:numId="9">
    <w:abstractNumId w:val="20"/>
  </w:num>
  <w:num w:numId="10">
    <w:abstractNumId w:val="39"/>
  </w:num>
  <w:num w:numId="11">
    <w:abstractNumId w:val="17"/>
  </w:num>
  <w:num w:numId="12">
    <w:abstractNumId w:val="28"/>
  </w:num>
  <w:num w:numId="13">
    <w:abstractNumId w:val="15"/>
  </w:num>
  <w:num w:numId="14">
    <w:abstractNumId w:val="24"/>
  </w:num>
  <w:num w:numId="15">
    <w:abstractNumId w:val="46"/>
  </w:num>
  <w:num w:numId="16">
    <w:abstractNumId w:val="36"/>
  </w:num>
  <w:num w:numId="17">
    <w:abstractNumId w:val="44"/>
  </w:num>
  <w:num w:numId="18">
    <w:abstractNumId w:val="30"/>
  </w:num>
  <w:num w:numId="19">
    <w:abstractNumId w:val="14"/>
  </w:num>
  <w:num w:numId="20">
    <w:abstractNumId w:val="21"/>
  </w:num>
  <w:num w:numId="21">
    <w:abstractNumId w:val="7"/>
  </w:num>
  <w:num w:numId="22">
    <w:abstractNumId w:val="13"/>
  </w:num>
  <w:num w:numId="23">
    <w:abstractNumId w:val="35"/>
  </w:num>
  <w:num w:numId="24">
    <w:abstractNumId w:val="47"/>
  </w:num>
  <w:num w:numId="25">
    <w:abstractNumId w:val="1"/>
  </w:num>
  <w:num w:numId="26">
    <w:abstractNumId w:val="43"/>
  </w:num>
  <w:num w:numId="27">
    <w:abstractNumId w:val="42"/>
  </w:num>
  <w:num w:numId="28">
    <w:abstractNumId w:val="27"/>
  </w:num>
  <w:num w:numId="29">
    <w:abstractNumId w:val="11"/>
  </w:num>
  <w:num w:numId="30">
    <w:abstractNumId w:val="2"/>
  </w:num>
  <w:num w:numId="31">
    <w:abstractNumId w:val="33"/>
  </w:num>
  <w:num w:numId="32">
    <w:abstractNumId w:val="10"/>
  </w:num>
  <w:num w:numId="33">
    <w:abstractNumId w:val="6"/>
  </w:num>
  <w:num w:numId="34">
    <w:abstractNumId w:val="0"/>
  </w:num>
  <w:num w:numId="35">
    <w:abstractNumId w:val="8"/>
  </w:num>
  <w:num w:numId="36">
    <w:abstractNumId w:val="4"/>
  </w:num>
  <w:num w:numId="37">
    <w:abstractNumId w:val="3"/>
  </w:num>
  <w:num w:numId="38">
    <w:abstractNumId w:val="23"/>
  </w:num>
  <w:num w:numId="39">
    <w:abstractNumId w:val="29"/>
  </w:num>
  <w:num w:numId="40">
    <w:abstractNumId w:val="34"/>
  </w:num>
  <w:num w:numId="41">
    <w:abstractNumId w:val="16"/>
  </w:num>
  <w:num w:numId="42">
    <w:abstractNumId w:val="31"/>
  </w:num>
  <w:num w:numId="43">
    <w:abstractNumId w:val="41"/>
  </w:num>
  <w:num w:numId="44">
    <w:abstractNumId w:val="9"/>
  </w:num>
  <w:num w:numId="45">
    <w:abstractNumId w:val="38"/>
  </w:num>
  <w:num w:numId="46">
    <w:abstractNumId w:val="45"/>
  </w:num>
  <w:num w:numId="47">
    <w:abstractNumId w:val="25"/>
  </w:num>
  <w:num w:numId="48">
    <w:abstractNumId w:val="37"/>
  </w:num>
  <w:num w:numId="49">
    <w:abstractNumId w:val="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proofState w:spelling="clean" w:grammar="clean"/>
  <w:defaultTabStop w:val="709"/>
  <w:hyphenationZone w:val="425"/>
  <w:characterSpacingControl w:val="doNotCompress"/>
  <w:footnotePr>
    <w:footnote w:id="-1"/>
    <w:footnote w:id="0"/>
  </w:footnotePr>
  <w:endnotePr>
    <w:endnote w:id="-1"/>
    <w:endnote w:id="0"/>
  </w:endnotePr>
  <w:compat/>
  <w:rsids>
    <w:rsidRoot w:val="00CF5D5A"/>
    <w:rsid w:val="00014DC4"/>
    <w:rsid w:val="00082276"/>
    <w:rsid w:val="000B1CE1"/>
    <w:rsid w:val="000B5CBC"/>
    <w:rsid w:val="00134A56"/>
    <w:rsid w:val="0013608C"/>
    <w:rsid w:val="00185F8E"/>
    <w:rsid w:val="0019094F"/>
    <w:rsid w:val="001B0A1C"/>
    <w:rsid w:val="001F7273"/>
    <w:rsid w:val="002143DB"/>
    <w:rsid w:val="002470A6"/>
    <w:rsid w:val="002A026D"/>
    <w:rsid w:val="002A57AF"/>
    <w:rsid w:val="002B062B"/>
    <w:rsid w:val="00356AAC"/>
    <w:rsid w:val="00381E4D"/>
    <w:rsid w:val="003B503A"/>
    <w:rsid w:val="00401551"/>
    <w:rsid w:val="00431913"/>
    <w:rsid w:val="0048102A"/>
    <w:rsid w:val="00483088"/>
    <w:rsid w:val="004E3CC9"/>
    <w:rsid w:val="00555916"/>
    <w:rsid w:val="00593078"/>
    <w:rsid w:val="005D3111"/>
    <w:rsid w:val="005D3CEE"/>
    <w:rsid w:val="005F48CE"/>
    <w:rsid w:val="00610E81"/>
    <w:rsid w:val="006172FC"/>
    <w:rsid w:val="0064701C"/>
    <w:rsid w:val="00696ACF"/>
    <w:rsid w:val="00697900"/>
    <w:rsid w:val="006C38D4"/>
    <w:rsid w:val="006E60CF"/>
    <w:rsid w:val="007D6495"/>
    <w:rsid w:val="007D6BD2"/>
    <w:rsid w:val="007E095E"/>
    <w:rsid w:val="00862438"/>
    <w:rsid w:val="008E2D01"/>
    <w:rsid w:val="008F4F21"/>
    <w:rsid w:val="009A78DA"/>
    <w:rsid w:val="009C1897"/>
    <w:rsid w:val="009E6BB7"/>
    <w:rsid w:val="009E7991"/>
    <w:rsid w:val="009F0467"/>
    <w:rsid w:val="00A670CA"/>
    <w:rsid w:val="00B107BA"/>
    <w:rsid w:val="00B2250D"/>
    <w:rsid w:val="00BC31D7"/>
    <w:rsid w:val="00C2412A"/>
    <w:rsid w:val="00C7165C"/>
    <w:rsid w:val="00C83A68"/>
    <w:rsid w:val="00CA7822"/>
    <w:rsid w:val="00CF5D5A"/>
    <w:rsid w:val="00D00D9D"/>
    <w:rsid w:val="00D826D6"/>
    <w:rsid w:val="00D92AC8"/>
    <w:rsid w:val="00DC0C18"/>
    <w:rsid w:val="00E92E1E"/>
    <w:rsid w:val="00EB3566"/>
    <w:rsid w:val="00EC270C"/>
    <w:rsid w:val="00EF047E"/>
    <w:rsid w:val="00EF53C5"/>
    <w:rsid w:val="00F646E7"/>
    <w:rsid w:val="00F83249"/>
    <w:rsid w:val="00FB2099"/>
    <w:rsid w:val="00FD1319"/>
    <w:rsid w:val="00FE24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5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dodlomak">
    <w:name w:val="pododlomak"/>
    <w:rsid w:val="00CF5D5A"/>
    <w:pPr>
      <w:widowControl w:val="0"/>
      <w:tabs>
        <w:tab w:val="left" w:pos="907"/>
      </w:tabs>
      <w:autoSpaceDE w:val="0"/>
      <w:autoSpaceDN w:val="0"/>
      <w:adjustRightInd w:val="0"/>
      <w:spacing w:after="57" w:line="250" w:lineRule="atLeast"/>
      <w:ind w:left="907" w:hanging="340"/>
      <w:jc w:val="both"/>
    </w:pPr>
    <w:rPr>
      <w:rFonts w:ascii="Dotum" w:eastAsia="Dotum" w:hAnsi="Times New Roman"/>
    </w:rPr>
  </w:style>
  <w:style w:type="paragraph" w:styleId="Footer">
    <w:name w:val="footer"/>
    <w:basedOn w:val="Normal"/>
    <w:link w:val="FooterChar"/>
    <w:uiPriority w:val="99"/>
    <w:rsid w:val="002A026D"/>
    <w:pPr>
      <w:tabs>
        <w:tab w:val="center" w:pos="4703"/>
        <w:tab w:val="right" w:pos="9406"/>
      </w:tabs>
    </w:pPr>
  </w:style>
  <w:style w:type="character" w:customStyle="1" w:styleId="FooterChar">
    <w:name w:val="Footer Char"/>
    <w:basedOn w:val="DefaultParagraphFont"/>
    <w:link w:val="Footer"/>
    <w:uiPriority w:val="99"/>
    <w:semiHidden/>
    <w:rsid w:val="004E228B"/>
    <w:rPr>
      <w:rFonts w:ascii="Times New Roman" w:eastAsia="Times New Roman" w:hAnsi="Times New Roman"/>
      <w:sz w:val="24"/>
      <w:szCs w:val="24"/>
      <w:lang w:val="en-US" w:eastAsia="en-US"/>
    </w:rPr>
  </w:style>
  <w:style w:type="character" w:styleId="PageNumber">
    <w:name w:val="page number"/>
    <w:basedOn w:val="DefaultParagraphFont"/>
    <w:uiPriority w:val="99"/>
    <w:rsid w:val="002A026D"/>
    <w:rPr>
      <w:rFonts w:cs="Times New Roman"/>
    </w:rPr>
  </w:style>
  <w:style w:type="paragraph" w:styleId="NoSpacing">
    <w:name w:val="No Spacing"/>
    <w:qFormat/>
    <w:rsid w:val="00DC0C18"/>
    <w:rPr>
      <w:sz w:val="22"/>
      <w:szCs w:val="22"/>
    </w:rPr>
  </w:style>
</w:styles>
</file>

<file path=word/webSettings.xml><?xml version="1.0" encoding="utf-8"?>
<w:webSettings xmlns:r="http://schemas.openxmlformats.org/officeDocument/2006/relationships" xmlns:w="http://schemas.openxmlformats.org/wordprocessingml/2006/main">
  <w:divs>
    <w:div w:id="1694576282">
      <w:marLeft w:val="0"/>
      <w:marRight w:val="0"/>
      <w:marTop w:val="0"/>
      <w:marBottom w:val="0"/>
      <w:divBdr>
        <w:top w:val="none" w:sz="0" w:space="0" w:color="auto"/>
        <w:left w:val="none" w:sz="0" w:space="0" w:color="auto"/>
        <w:bottom w:val="none" w:sz="0" w:space="0" w:color="auto"/>
        <w:right w:val="none" w:sz="0" w:space="0" w:color="auto"/>
      </w:divBdr>
    </w:div>
    <w:div w:id="1694576283">
      <w:marLeft w:val="0"/>
      <w:marRight w:val="0"/>
      <w:marTop w:val="0"/>
      <w:marBottom w:val="0"/>
      <w:divBdr>
        <w:top w:val="none" w:sz="0" w:space="0" w:color="auto"/>
        <w:left w:val="none" w:sz="0" w:space="0" w:color="auto"/>
        <w:bottom w:val="none" w:sz="0" w:space="0" w:color="auto"/>
        <w:right w:val="none" w:sz="0" w:space="0" w:color="auto"/>
      </w:divBdr>
    </w:div>
    <w:div w:id="1694576284">
      <w:marLeft w:val="0"/>
      <w:marRight w:val="0"/>
      <w:marTop w:val="0"/>
      <w:marBottom w:val="0"/>
      <w:divBdr>
        <w:top w:val="none" w:sz="0" w:space="0" w:color="auto"/>
        <w:left w:val="none" w:sz="0" w:space="0" w:color="auto"/>
        <w:bottom w:val="none" w:sz="0" w:space="0" w:color="auto"/>
        <w:right w:val="none" w:sz="0" w:space="0" w:color="auto"/>
      </w:divBdr>
    </w:div>
    <w:div w:id="1694576285">
      <w:marLeft w:val="0"/>
      <w:marRight w:val="0"/>
      <w:marTop w:val="0"/>
      <w:marBottom w:val="0"/>
      <w:divBdr>
        <w:top w:val="none" w:sz="0" w:space="0" w:color="auto"/>
        <w:left w:val="none" w:sz="0" w:space="0" w:color="auto"/>
        <w:bottom w:val="none" w:sz="0" w:space="0" w:color="auto"/>
        <w:right w:val="none" w:sz="0" w:space="0" w:color="auto"/>
      </w:divBdr>
    </w:div>
    <w:div w:id="1694576286">
      <w:marLeft w:val="0"/>
      <w:marRight w:val="0"/>
      <w:marTop w:val="0"/>
      <w:marBottom w:val="0"/>
      <w:divBdr>
        <w:top w:val="none" w:sz="0" w:space="0" w:color="auto"/>
        <w:left w:val="none" w:sz="0" w:space="0" w:color="auto"/>
        <w:bottom w:val="none" w:sz="0" w:space="0" w:color="auto"/>
        <w:right w:val="none" w:sz="0" w:space="0" w:color="auto"/>
      </w:divBdr>
    </w:div>
    <w:div w:id="1694576287">
      <w:marLeft w:val="0"/>
      <w:marRight w:val="0"/>
      <w:marTop w:val="0"/>
      <w:marBottom w:val="0"/>
      <w:divBdr>
        <w:top w:val="none" w:sz="0" w:space="0" w:color="auto"/>
        <w:left w:val="none" w:sz="0" w:space="0" w:color="auto"/>
        <w:bottom w:val="none" w:sz="0" w:space="0" w:color="auto"/>
        <w:right w:val="none" w:sz="0" w:space="0" w:color="auto"/>
      </w:divBdr>
    </w:div>
    <w:div w:id="1694576288">
      <w:marLeft w:val="0"/>
      <w:marRight w:val="0"/>
      <w:marTop w:val="0"/>
      <w:marBottom w:val="0"/>
      <w:divBdr>
        <w:top w:val="none" w:sz="0" w:space="0" w:color="auto"/>
        <w:left w:val="none" w:sz="0" w:space="0" w:color="auto"/>
        <w:bottom w:val="none" w:sz="0" w:space="0" w:color="auto"/>
        <w:right w:val="none" w:sz="0" w:space="0" w:color="auto"/>
      </w:divBdr>
    </w:div>
    <w:div w:id="1694576289">
      <w:marLeft w:val="0"/>
      <w:marRight w:val="0"/>
      <w:marTop w:val="0"/>
      <w:marBottom w:val="0"/>
      <w:divBdr>
        <w:top w:val="none" w:sz="0" w:space="0" w:color="auto"/>
        <w:left w:val="none" w:sz="0" w:space="0" w:color="auto"/>
        <w:bottom w:val="none" w:sz="0" w:space="0" w:color="auto"/>
        <w:right w:val="none" w:sz="0" w:space="0" w:color="auto"/>
      </w:divBdr>
    </w:div>
    <w:div w:id="1694576290">
      <w:marLeft w:val="0"/>
      <w:marRight w:val="0"/>
      <w:marTop w:val="0"/>
      <w:marBottom w:val="0"/>
      <w:divBdr>
        <w:top w:val="none" w:sz="0" w:space="0" w:color="auto"/>
        <w:left w:val="none" w:sz="0" w:space="0" w:color="auto"/>
        <w:bottom w:val="none" w:sz="0" w:space="0" w:color="auto"/>
        <w:right w:val="none" w:sz="0" w:space="0" w:color="auto"/>
      </w:divBdr>
    </w:div>
    <w:div w:id="1694576291">
      <w:marLeft w:val="0"/>
      <w:marRight w:val="0"/>
      <w:marTop w:val="0"/>
      <w:marBottom w:val="0"/>
      <w:divBdr>
        <w:top w:val="none" w:sz="0" w:space="0" w:color="auto"/>
        <w:left w:val="none" w:sz="0" w:space="0" w:color="auto"/>
        <w:bottom w:val="none" w:sz="0" w:space="0" w:color="auto"/>
        <w:right w:val="none" w:sz="0" w:space="0" w:color="auto"/>
      </w:divBdr>
    </w:div>
    <w:div w:id="1694576292">
      <w:marLeft w:val="0"/>
      <w:marRight w:val="0"/>
      <w:marTop w:val="0"/>
      <w:marBottom w:val="0"/>
      <w:divBdr>
        <w:top w:val="none" w:sz="0" w:space="0" w:color="auto"/>
        <w:left w:val="none" w:sz="0" w:space="0" w:color="auto"/>
        <w:bottom w:val="none" w:sz="0" w:space="0" w:color="auto"/>
        <w:right w:val="none" w:sz="0" w:space="0" w:color="auto"/>
      </w:divBdr>
    </w:div>
    <w:div w:id="1694576293">
      <w:marLeft w:val="0"/>
      <w:marRight w:val="0"/>
      <w:marTop w:val="0"/>
      <w:marBottom w:val="0"/>
      <w:divBdr>
        <w:top w:val="none" w:sz="0" w:space="0" w:color="auto"/>
        <w:left w:val="none" w:sz="0" w:space="0" w:color="auto"/>
        <w:bottom w:val="none" w:sz="0" w:space="0" w:color="auto"/>
        <w:right w:val="none" w:sz="0" w:space="0" w:color="auto"/>
      </w:divBdr>
    </w:div>
    <w:div w:id="1694576294">
      <w:marLeft w:val="0"/>
      <w:marRight w:val="0"/>
      <w:marTop w:val="0"/>
      <w:marBottom w:val="0"/>
      <w:divBdr>
        <w:top w:val="none" w:sz="0" w:space="0" w:color="auto"/>
        <w:left w:val="none" w:sz="0" w:space="0" w:color="auto"/>
        <w:bottom w:val="none" w:sz="0" w:space="0" w:color="auto"/>
        <w:right w:val="none" w:sz="0" w:space="0" w:color="auto"/>
      </w:divBdr>
    </w:div>
    <w:div w:id="1694576295">
      <w:marLeft w:val="0"/>
      <w:marRight w:val="0"/>
      <w:marTop w:val="0"/>
      <w:marBottom w:val="0"/>
      <w:divBdr>
        <w:top w:val="none" w:sz="0" w:space="0" w:color="auto"/>
        <w:left w:val="none" w:sz="0" w:space="0" w:color="auto"/>
        <w:bottom w:val="none" w:sz="0" w:space="0" w:color="auto"/>
        <w:right w:val="none" w:sz="0" w:space="0" w:color="auto"/>
      </w:divBdr>
    </w:div>
    <w:div w:id="1694576296">
      <w:marLeft w:val="0"/>
      <w:marRight w:val="0"/>
      <w:marTop w:val="0"/>
      <w:marBottom w:val="0"/>
      <w:divBdr>
        <w:top w:val="none" w:sz="0" w:space="0" w:color="auto"/>
        <w:left w:val="none" w:sz="0" w:space="0" w:color="auto"/>
        <w:bottom w:val="none" w:sz="0" w:space="0" w:color="auto"/>
        <w:right w:val="none" w:sz="0" w:space="0" w:color="auto"/>
      </w:divBdr>
    </w:div>
    <w:div w:id="1694576297">
      <w:marLeft w:val="0"/>
      <w:marRight w:val="0"/>
      <w:marTop w:val="0"/>
      <w:marBottom w:val="0"/>
      <w:divBdr>
        <w:top w:val="none" w:sz="0" w:space="0" w:color="auto"/>
        <w:left w:val="none" w:sz="0" w:space="0" w:color="auto"/>
        <w:bottom w:val="none" w:sz="0" w:space="0" w:color="auto"/>
        <w:right w:val="none" w:sz="0" w:space="0" w:color="auto"/>
      </w:divBdr>
    </w:div>
    <w:div w:id="1694576298">
      <w:marLeft w:val="0"/>
      <w:marRight w:val="0"/>
      <w:marTop w:val="0"/>
      <w:marBottom w:val="0"/>
      <w:divBdr>
        <w:top w:val="none" w:sz="0" w:space="0" w:color="auto"/>
        <w:left w:val="none" w:sz="0" w:space="0" w:color="auto"/>
        <w:bottom w:val="none" w:sz="0" w:space="0" w:color="auto"/>
        <w:right w:val="none" w:sz="0" w:space="0" w:color="auto"/>
      </w:divBdr>
    </w:div>
    <w:div w:id="1694576299">
      <w:marLeft w:val="0"/>
      <w:marRight w:val="0"/>
      <w:marTop w:val="0"/>
      <w:marBottom w:val="0"/>
      <w:divBdr>
        <w:top w:val="none" w:sz="0" w:space="0" w:color="auto"/>
        <w:left w:val="none" w:sz="0" w:space="0" w:color="auto"/>
        <w:bottom w:val="none" w:sz="0" w:space="0" w:color="auto"/>
        <w:right w:val="none" w:sz="0" w:space="0" w:color="auto"/>
      </w:divBdr>
    </w:div>
    <w:div w:id="1694576300">
      <w:marLeft w:val="0"/>
      <w:marRight w:val="0"/>
      <w:marTop w:val="0"/>
      <w:marBottom w:val="0"/>
      <w:divBdr>
        <w:top w:val="none" w:sz="0" w:space="0" w:color="auto"/>
        <w:left w:val="none" w:sz="0" w:space="0" w:color="auto"/>
        <w:bottom w:val="none" w:sz="0" w:space="0" w:color="auto"/>
        <w:right w:val="none" w:sz="0" w:space="0" w:color="auto"/>
      </w:divBdr>
    </w:div>
    <w:div w:id="1694576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F5D71A-77AD-477C-9BB3-7F7838400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NADzDz</dc:creator>
  <cp:lastModifiedBy>Lenovo</cp:lastModifiedBy>
  <cp:revision>4</cp:revision>
  <dcterms:created xsi:type="dcterms:W3CDTF">2013-11-07T13:26:00Z</dcterms:created>
  <dcterms:modified xsi:type="dcterms:W3CDTF">2013-12-03T08:42:00Z</dcterms:modified>
</cp:coreProperties>
</file>